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03" w:rsidRPr="000848B7" w:rsidRDefault="00EE1103" w:rsidP="00EE1103">
      <w:pPr>
        <w:pStyle w:val="Heading2"/>
        <w:rPr>
          <w:rFonts w:ascii="Calibri" w:hAnsi="Calibri"/>
          <w:sz w:val="48"/>
          <w:szCs w:val="48"/>
        </w:rPr>
      </w:pPr>
    </w:p>
    <w:p w:rsidR="00EE1103" w:rsidRDefault="00EE1103" w:rsidP="00EE1103">
      <w:pPr>
        <w:pStyle w:val="Heading2"/>
        <w:rPr>
          <w:rFonts w:ascii="Calibri" w:hAnsi="Calibri"/>
          <w:i/>
          <w:sz w:val="48"/>
          <w:szCs w:val="48"/>
        </w:rPr>
      </w:pPr>
    </w:p>
    <w:p w:rsidR="00EE1103" w:rsidRPr="00EE1103" w:rsidRDefault="002B0579" w:rsidP="00EE1103">
      <w:pPr>
        <w:pStyle w:val="Heading2"/>
        <w:jc w:val="center"/>
        <w:rPr>
          <w:rFonts w:ascii="Calibri" w:hAnsi="Calibri"/>
          <w:i/>
          <w:sz w:val="48"/>
          <w:szCs w:val="48"/>
          <w:u w:val="none"/>
        </w:rPr>
      </w:pPr>
      <w:r>
        <w:rPr>
          <w:rFonts w:ascii="Calibri" w:hAnsi="Calibri"/>
          <w:i/>
          <w:noProof/>
          <w:sz w:val="48"/>
          <w:szCs w:val="48"/>
          <w:u w:val="none"/>
        </w:rPr>
        <w:drawing>
          <wp:inline distT="0" distB="0" distL="0" distR="0">
            <wp:extent cx="5848350" cy="4419600"/>
            <wp:effectExtent l="0" t="0" r="0" b="0"/>
            <wp:docPr id="4" name="Picture 3" descr="C:\Users\Karen Fraser\Pictures\Logos\HTF\VCHTF_logo2019_CMKY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 Fraser\Pictures\Logos\HTF\VCHTF_logo2019_CMKY_Stack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0" cy="4419600"/>
                    </a:xfrm>
                    <a:prstGeom prst="rect">
                      <a:avLst/>
                    </a:prstGeom>
                    <a:noFill/>
                    <a:ln>
                      <a:noFill/>
                    </a:ln>
                  </pic:spPr>
                </pic:pic>
              </a:graphicData>
            </a:graphic>
          </wp:inline>
        </w:drawing>
      </w:r>
    </w:p>
    <w:p w:rsidR="00EE1103" w:rsidRPr="00EE1103" w:rsidRDefault="00EE1103" w:rsidP="00EE1103">
      <w:pPr>
        <w:pStyle w:val="Heading2"/>
        <w:rPr>
          <w:rFonts w:ascii="Calibri" w:hAnsi="Calibri"/>
          <w:i/>
          <w:sz w:val="48"/>
          <w:szCs w:val="48"/>
          <w:u w:val="none"/>
        </w:rPr>
      </w:pPr>
    </w:p>
    <w:p w:rsidR="00EE1103" w:rsidRPr="00EE1103" w:rsidRDefault="00EE1103" w:rsidP="00EE1103">
      <w:pPr>
        <w:pStyle w:val="Heading2"/>
        <w:rPr>
          <w:rFonts w:ascii="Calibri" w:hAnsi="Calibri"/>
          <w:b w:val="0"/>
          <w:i/>
          <w:sz w:val="48"/>
          <w:szCs w:val="48"/>
          <w:u w:val="none"/>
        </w:rPr>
      </w:pPr>
    </w:p>
    <w:p w:rsidR="00EE1103" w:rsidRPr="00755381" w:rsidRDefault="00EE1103" w:rsidP="00EE1103">
      <w:pPr>
        <w:pStyle w:val="Heading2"/>
        <w:jc w:val="center"/>
        <w:rPr>
          <w:rFonts w:ascii="Calibri" w:hAnsi="Calibri"/>
          <w:i/>
          <w:sz w:val="48"/>
          <w:szCs w:val="48"/>
          <w:u w:val="none"/>
        </w:rPr>
      </w:pPr>
      <w:r w:rsidRPr="00755381">
        <w:rPr>
          <w:rFonts w:ascii="Calibri" w:hAnsi="Calibri"/>
          <w:i/>
          <w:sz w:val="48"/>
          <w:szCs w:val="48"/>
          <w:u w:val="none"/>
        </w:rPr>
        <w:t>Revolving Loan Fund</w:t>
      </w:r>
    </w:p>
    <w:p w:rsidR="00EE1103" w:rsidRPr="00755381" w:rsidRDefault="00EE1103" w:rsidP="00EE1103">
      <w:pPr>
        <w:pStyle w:val="Heading2"/>
        <w:jc w:val="center"/>
        <w:rPr>
          <w:rFonts w:ascii="Calibri" w:hAnsi="Calibri"/>
          <w:i/>
          <w:u w:val="none"/>
        </w:rPr>
      </w:pPr>
      <w:r w:rsidRPr="00755381">
        <w:rPr>
          <w:rFonts w:ascii="Calibri" w:hAnsi="Calibri"/>
          <w:i/>
          <w:sz w:val="48"/>
          <w:szCs w:val="48"/>
          <w:u w:val="none"/>
        </w:rPr>
        <w:t>Loan Review and</w:t>
      </w:r>
      <w:r w:rsidR="00755381">
        <w:rPr>
          <w:rFonts w:ascii="Calibri" w:hAnsi="Calibri"/>
          <w:i/>
          <w:sz w:val="48"/>
          <w:szCs w:val="48"/>
          <w:u w:val="none"/>
        </w:rPr>
        <w:t xml:space="preserve"> </w:t>
      </w:r>
      <w:r w:rsidRPr="00755381">
        <w:rPr>
          <w:rFonts w:ascii="Calibri" w:hAnsi="Calibri"/>
          <w:i/>
          <w:sz w:val="48"/>
          <w:szCs w:val="48"/>
          <w:u w:val="none"/>
        </w:rPr>
        <w:t>Underwriting Guidelines</w:t>
      </w:r>
    </w:p>
    <w:p w:rsidR="00EE1103" w:rsidRDefault="00EE1103" w:rsidP="00EE1103">
      <w:pPr>
        <w:jc w:val="center"/>
        <w:rPr>
          <w:rFonts w:ascii="Calibri" w:hAnsi="Calibri"/>
        </w:rPr>
      </w:pPr>
    </w:p>
    <w:p w:rsidR="00EE1103" w:rsidRDefault="00EE1103" w:rsidP="00EE1103">
      <w:pPr>
        <w:jc w:val="center"/>
        <w:rPr>
          <w:rFonts w:ascii="Calibri" w:hAnsi="Calibri"/>
        </w:rPr>
      </w:pPr>
    </w:p>
    <w:p w:rsidR="00EE1103" w:rsidRDefault="00EE1103" w:rsidP="00EE1103">
      <w:pPr>
        <w:jc w:val="center"/>
        <w:rPr>
          <w:rFonts w:ascii="Calibri" w:hAnsi="Calibri"/>
          <w:b/>
        </w:rPr>
      </w:pPr>
    </w:p>
    <w:p w:rsidR="00755381" w:rsidRDefault="00755381" w:rsidP="00755381">
      <w:pPr>
        <w:spacing w:after="120"/>
        <w:jc w:val="center"/>
        <w:rPr>
          <w:rFonts w:ascii="Calibri" w:hAnsi="Calibri"/>
          <w:i/>
          <w:color w:val="808080"/>
        </w:rPr>
      </w:pPr>
      <w:r w:rsidRPr="00FA6381">
        <w:rPr>
          <w:rFonts w:ascii="Calibri" w:hAnsi="Calibri"/>
          <w:b/>
          <w:color w:val="284667"/>
          <w:sz w:val="28"/>
          <w:szCs w:val="28"/>
        </w:rPr>
        <w:t>Housing Trust Fund</w:t>
      </w:r>
      <w:r>
        <w:rPr>
          <w:rFonts w:ascii="Calibri" w:hAnsi="Calibri"/>
          <w:b/>
          <w:color w:val="46669B"/>
          <w:sz w:val="28"/>
          <w:szCs w:val="28"/>
        </w:rPr>
        <w:t xml:space="preserve"> </w:t>
      </w:r>
      <w:r w:rsidRPr="00FA6381">
        <w:rPr>
          <w:rFonts w:ascii="Calibri" w:hAnsi="Calibri"/>
          <w:b/>
          <w:color w:val="98B449"/>
          <w:sz w:val="28"/>
          <w:szCs w:val="28"/>
        </w:rPr>
        <w:t>Ventura County</w:t>
      </w:r>
      <w:r>
        <w:rPr>
          <w:rFonts w:ascii="Calibri" w:hAnsi="Calibri"/>
          <w:b/>
          <w:sz w:val="28"/>
          <w:szCs w:val="28"/>
        </w:rPr>
        <w:br/>
      </w:r>
    </w:p>
    <w:p w:rsidR="00EE1103" w:rsidRDefault="00EE1103" w:rsidP="00EE1103">
      <w:pPr>
        <w:spacing w:after="60"/>
        <w:jc w:val="center"/>
        <w:rPr>
          <w:rFonts w:ascii="Calibri" w:hAnsi="Calibri"/>
          <w:color w:val="808080"/>
        </w:rPr>
      </w:pPr>
      <w:r w:rsidDel="00C72D98">
        <w:rPr>
          <w:rFonts w:ascii="Calibri" w:hAnsi="Calibri"/>
          <w:color w:val="808080"/>
        </w:rPr>
        <w:t xml:space="preserve"> </w:t>
      </w:r>
      <w:r>
        <w:rPr>
          <w:rFonts w:ascii="Calibri" w:hAnsi="Calibri"/>
          <w:color w:val="808080"/>
        </w:rPr>
        <w:t>Linda Braunschweiger, CEO</w:t>
      </w:r>
    </w:p>
    <w:p w:rsidR="00EE1103" w:rsidRDefault="00EE1103" w:rsidP="00EE1103">
      <w:pPr>
        <w:spacing w:after="60"/>
        <w:jc w:val="center"/>
        <w:rPr>
          <w:rFonts w:ascii="Calibri" w:hAnsi="Calibri"/>
          <w:color w:val="808080"/>
        </w:rPr>
      </w:pPr>
      <w:r>
        <w:rPr>
          <w:rFonts w:ascii="Calibri" w:hAnsi="Calibri"/>
          <w:color w:val="808080"/>
        </w:rPr>
        <w:t>(805) 407-2455</w:t>
      </w:r>
    </w:p>
    <w:p w:rsidR="00EE1103" w:rsidRDefault="00EE1103" w:rsidP="00EE1103">
      <w:pPr>
        <w:spacing w:after="60"/>
        <w:jc w:val="center"/>
        <w:rPr>
          <w:rFonts w:ascii="Calibri" w:hAnsi="Calibri"/>
          <w:color w:val="808080"/>
        </w:rPr>
      </w:pPr>
      <w:r>
        <w:rPr>
          <w:rFonts w:ascii="Calibri" w:hAnsi="Calibri"/>
          <w:color w:val="808080"/>
        </w:rPr>
        <w:t>Linda@HousingTrustFund</w:t>
      </w:r>
      <w:r w:rsidR="00755381">
        <w:rPr>
          <w:rFonts w:ascii="Calibri" w:hAnsi="Calibri"/>
          <w:color w:val="808080"/>
        </w:rPr>
        <w:t>VC</w:t>
      </w:r>
      <w:r>
        <w:rPr>
          <w:rFonts w:ascii="Calibri" w:hAnsi="Calibri"/>
          <w:color w:val="808080"/>
        </w:rPr>
        <w:t xml:space="preserve">.org </w:t>
      </w:r>
    </w:p>
    <w:p w:rsidR="00EE1103" w:rsidRDefault="00755381" w:rsidP="00EE1103">
      <w:pPr>
        <w:spacing w:after="60"/>
        <w:jc w:val="center"/>
        <w:rPr>
          <w:rFonts w:ascii="Calibri" w:hAnsi="Calibri"/>
          <w:color w:val="808080"/>
        </w:rPr>
      </w:pPr>
      <w:r>
        <w:rPr>
          <w:rFonts w:ascii="Calibri" w:hAnsi="Calibri"/>
          <w:color w:val="808080"/>
        </w:rPr>
        <w:t>www.</w:t>
      </w:r>
      <w:r w:rsidR="00EE1103">
        <w:rPr>
          <w:rFonts w:ascii="Calibri" w:hAnsi="Calibri"/>
          <w:color w:val="808080"/>
        </w:rPr>
        <w:t>HousingTrustFund</w:t>
      </w:r>
      <w:r>
        <w:rPr>
          <w:rFonts w:ascii="Calibri" w:hAnsi="Calibri"/>
          <w:color w:val="808080"/>
        </w:rPr>
        <w:t>VC</w:t>
      </w:r>
      <w:r w:rsidR="00EE1103">
        <w:rPr>
          <w:rFonts w:ascii="Calibri" w:hAnsi="Calibri"/>
          <w:color w:val="808080"/>
        </w:rPr>
        <w:t>.org</w:t>
      </w:r>
    </w:p>
    <w:p w:rsidR="00D9601E" w:rsidRPr="0034163A" w:rsidRDefault="00EE1103" w:rsidP="00EE1103">
      <w:pPr>
        <w:jc w:val="center"/>
        <w:rPr>
          <w:rFonts w:asciiTheme="minorHAnsi" w:hAnsiTheme="minorHAnsi"/>
          <w:b/>
          <w:sz w:val="32"/>
          <w:szCs w:val="32"/>
        </w:rPr>
      </w:pPr>
      <w:r>
        <w:rPr>
          <w:rFonts w:ascii="Calibri" w:hAnsi="Calibri"/>
        </w:rPr>
        <w:br w:type="page"/>
      </w:r>
      <w:r w:rsidRPr="0034163A">
        <w:rPr>
          <w:rFonts w:asciiTheme="minorHAnsi" w:hAnsiTheme="minorHAnsi"/>
          <w:b/>
          <w:sz w:val="32"/>
          <w:szCs w:val="32"/>
        </w:rPr>
        <w:lastRenderedPageBreak/>
        <w:t>Introduction</w:t>
      </w:r>
    </w:p>
    <w:p w:rsidR="00D9601E" w:rsidRDefault="00D9601E" w:rsidP="0096146D">
      <w:pPr>
        <w:jc w:val="center"/>
        <w:rPr>
          <w:rFonts w:ascii="Arial" w:hAnsi="Arial" w:cs="Arial"/>
          <w:b/>
        </w:rPr>
      </w:pPr>
    </w:p>
    <w:p w:rsidR="00F07EED" w:rsidRDefault="00D9601E" w:rsidP="00D9601E">
      <w:r w:rsidRPr="00C65821">
        <w:t>This document summari</w:t>
      </w:r>
      <w:r w:rsidR="00456C47" w:rsidRPr="00C65821">
        <w:t>z</w:t>
      </w:r>
      <w:r w:rsidRPr="00C65821">
        <w:t xml:space="preserve">es the Loan Review Process and Underwriting Guidelines for the </w:t>
      </w:r>
      <w:r w:rsidR="00755381">
        <w:t>Housing Trust Fund Ventura County</w:t>
      </w:r>
      <w:r w:rsidRPr="00C65821">
        <w:t xml:space="preserve"> (</w:t>
      </w:r>
      <w:r w:rsidR="00755381">
        <w:t>HTFVC</w:t>
      </w:r>
      <w:r w:rsidRPr="00C65821">
        <w:t xml:space="preserve">).  Its purpose is to convey our current standards, process and practices to prospective borrowers and investors.  </w:t>
      </w:r>
    </w:p>
    <w:p w:rsidR="00D9601E" w:rsidRPr="00C65821" w:rsidRDefault="00D9601E" w:rsidP="00D9601E"/>
    <w:p w:rsidR="00D9601E" w:rsidRPr="00C65821" w:rsidRDefault="00D9601E" w:rsidP="00D9601E">
      <w:r w:rsidRPr="00C65821">
        <w:t xml:space="preserve">The Loan Review Process describes the general steps that the </w:t>
      </w:r>
      <w:r w:rsidR="00755381">
        <w:t>HTFVC</w:t>
      </w:r>
      <w:r w:rsidRPr="00C65821">
        <w:t xml:space="preserve"> takes when working and communicating with prospective borrowers, reviewing applications and approving loans.  The Underwriting Guidelines describe how we review and evaluate loan applications and the standards upon which we base our lending recommendations and decisions.</w:t>
      </w:r>
    </w:p>
    <w:p w:rsidR="00D9601E" w:rsidRPr="00C65821" w:rsidRDefault="00D9601E" w:rsidP="00D9601E"/>
    <w:p w:rsidR="00D9601E" w:rsidRPr="00C65821" w:rsidRDefault="00D9601E" w:rsidP="00D9601E">
      <w:r w:rsidRPr="00C65821">
        <w:t xml:space="preserve">The process and guidelines described in this document are driven by the mission and values of the </w:t>
      </w:r>
      <w:r w:rsidR="00755381">
        <w:t>HTFVC</w:t>
      </w:r>
      <w:r w:rsidRPr="00C65821">
        <w:t xml:space="preserve">.  Our mission is to support more housing choices, by generating and leveraging financial resources, working in partnership with the public, private, and non-profit sectors throughout </w:t>
      </w:r>
      <w:smartTag w:uri="urn:schemas-microsoft-com:office:smarttags" w:element="place">
        <w:smartTag w:uri="urn:schemas-microsoft-com:office:smarttags" w:element="PlaceName">
          <w:r w:rsidRPr="00C65821">
            <w:t>Ventura</w:t>
          </w:r>
        </w:smartTag>
        <w:r w:rsidRPr="00C65821">
          <w:t xml:space="preserve"> </w:t>
        </w:r>
        <w:smartTag w:uri="urn:schemas-microsoft-com:office:smarttags" w:element="PlaceType">
          <w:r w:rsidRPr="00C65821">
            <w:t>County</w:t>
          </w:r>
        </w:smartTag>
      </w:smartTag>
      <w:r w:rsidRPr="00C65821">
        <w:t>.</w:t>
      </w:r>
      <w:r w:rsidR="00D42565" w:rsidRPr="00C65821">
        <w:t xml:space="preserve">  </w:t>
      </w:r>
      <w:r w:rsidR="00522232" w:rsidRPr="00C65821">
        <w:t xml:space="preserve">In addition, </w:t>
      </w:r>
      <w:r w:rsidR="00755381">
        <w:t>HTFVC</w:t>
      </w:r>
      <w:r w:rsidR="00522232" w:rsidRPr="00C65821">
        <w:t xml:space="preserve"> works to increase the supply of affordable housing for extremely low, very low, low and moderate income</w:t>
      </w:r>
      <w:r w:rsidR="00BC0BFA">
        <w:rPr>
          <w:rStyle w:val="FootnoteReference"/>
        </w:rPr>
        <w:footnoteReference w:id="1"/>
      </w:r>
      <w:r w:rsidR="00EE1103">
        <w:t xml:space="preserve"> </w:t>
      </w:r>
      <w:r w:rsidR="00522232" w:rsidRPr="00C65821">
        <w:t>residents of Ventura County</w:t>
      </w:r>
      <w:r w:rsidR="009974C1">
        <w:t>.</w:t>
      </w:r>
      <w:r w:rsidR="00522232" w:rsidRPr="00C65821">
        <w:t xml:space="preserve"> </w:t>
      </w:r>
      <w:r w:rsidR="00D42565" w:rsidRPr="00C65821">
        <w:t>This mission is served by providing financing for the development and acquisition</w:t>
      </w:r>
      <w:r w:rsidR="00EF2C6E">
        <w:t>/</w:t>
      </w:r>
      <w:r w:rsidR="00FB6C72">
        <w:t>conversion</w:t>
      </w:r>
      <w:r w:rsidR="00E74CCC">
        <w:t xml:space="preserve"> (conversion </w:t>
      </w:r>
      <w:r w:rsidR="00B13946">
        <w:t>of nonresidential or market rate residential to affordable units)</w:t>
      </w:r>
      <w:r w:rsidR="00D42565" w:rsidRPr="00C65821">
        <w:t xml:space="preserve"> of </w:t>
      </w:r>
      <w:r w:rsidR="00EF2C6E">
        <w:t xml:space="preserve">new affordable </w:t>
      </w:r>
      <w:r w:rsidR="00D42565" w:rsidRPr="00C65821">
        <w:t xml:space="preserve">housing that will remain affordable for the longest </w:t>
      </w:r>
      <w:r w:rsidR="00BC0BFA">
        <w:t>p</w:t>
      </w:r>
      <w:r w:rsidR="00D42565" w:rsidRPr="00C65821">
        <w:t>ossible time.</w:t>
      </w:r>
    </w:p>
    <w:p w:rsidR="00D42565" w:rsidRPr="00C65821" w:rsidRDefault="00D42565" w:rsidP="00D9601E"/>
    <w:p w:rsidR="00D42565" w:rsidRPr="00C65821" w:rsidRDefault="00755381" w:rsidP="00D9601E">
      <w:r>
        <w:t>HTFVC</w:t>
      </w:r>
      <w:r w:rsidR="00D42565" w:rsidRPr="00C65821">
        <w:t xml:space="preserve"> was created to provide an additional source of financing for affordable housing </w:t>
      </w:r>
      <w:r w:rsidR="00B472D3">
        <w:t>development</w:t>
      </w:r>
      <w:r w:rsidR="00D42565" w:rsidRPr="00C65821">
        <w:t>s.  We fill a niche between bank loans and government housing programs.  It is our policy to cooperate with banks and other private lenders</w:t>
      </w:r>
      <w:r w:rsidR="00FB6C72">
        <w:t>.</w:t>
      </w:r>
      <w:r w:rsidR="0083657D">
        <w:t xml:space="preserve"> </w:t>
      </w:r>
      <w:r w:rsidR="00D42565" w:rsidRPr="00C65821">
        <w:t>While</w:t>
      </w:r>
      <w:r w:rsidR="0083657D">
        <w:t xml:space="preserve"> </w:t>
      </w:r>
      <w:r>
        <w:t>HTFVC</w:t>
      </w:r>
      <w:r w:rsidR="00D42565" w:rsidRPr="00C65821">
        <w:t xml:space="preserve"> does not </w:t>
      </w:r>
      <w:r w:rsidR="00456C47" w:rsidRPr="00C65821">
        <w:t xml:space="preserve">directly compete with banks, we are not a lender of last resort nor do we require rejection letters as part of our application package.  When it appears that an applicant may qualify for bank financing, </w:t>
      </w:r>
      <w:r>
        <w:t>HTFVC</w:t>
      </w:r>
      <w:r w:rsidR="00456C47" w:rsidRPr="00C65821">
        <w:t xml:space="preserve"> will request that they approach a bank for financing.  Rather than delay the </w:t>
      </w:r>
      <w:r w:rsidR="00B472D3">
        <w:t>development</w:t>
      </w:r>
      <w:r w:rsidR="00456C47" w:rsidRPr="00C65821">
        <w:t xml:space="preserve"> while the bank processes the loan, </w:t>
      </w:r>
      <w:r>
        <w:t>HTFVC</w:t>
      </w:r>
      <w:r w:rsidR="00456C47" w:rsidRPr="00C65821">
        <w:t xml:space="preserve"> can process it concurrently to help expedite the </w:t>
      </w:r>
      <w:r w:rsidR="00B472D3">
        <w:t>development</w:t>
      </w:r>
      <w:r w:rsidR="00456C47" w:rsidRPr="00C65821">
        <w:t>.</w:t>
      </w:r>
    </w:p>
    <w:p w:rsidR="00456C47" w:rsidRPr="00C65821" w:rsidRDefault="00456C47" w:rsidP="00D9601E"/>
    <w:p w:rsidR="00456C47" w:rsidRPr="00F34F5F" w:rsidRDefault="00456C47" w:rsidP="00F34F5F">
      <w:pPr>
        <w:jc w:val="center"/>
        <w:rPr>
          <w:rFonts w:asciiTheme="minorHAnsi" w:hAnsiTheme="minorHAnsi"/>
          <w:b/>
          <w:color w:val="000000" w:themeColor="text1"/>
          <w:sz w:val="32"/>
        </w:rPr>
      </w:pPr>
      <w:r w:rsidRPr="00F34F5F">
        <w:rPr>
          <w:rFonts w:asciiTheme="minorHAnsi" w:hAnsiTheme="minorHAnsi"/>
          <w:b/>
          <w:color w:val="000000" w:themeColor="text1"/>
          <w:sz w:val="32"/>
        </w:rPr>
        <w:t>Loan Review Process</w:t>
      </w:r>
    </w:p>
    <w:p w:rsidR="00456C47" w:rsidRPr="00C65821" w:rsidRDefault="00456C47" w:rsidP="00456C47"/>
    <w:p w:rsidR="00EF2C6E" w:rsidRDefault="00755381" w:rsidP="00EF2C6E">
      <w:pPr>
        <w:pStyle w:val="EndnoteText"/>
        <w:rPr>
          <w:sz w:val="24"/>
          <w:szCs w:val="24"/>
        </w:rPr>
      </w:pPr>
      <w:r>
        <w:rPr>
          <w:sz w:val="24"/>
          <w:szCs w:val="24"/>
        </w:rPr>
        <w:t>HTFVC</w:t>
      </w:r>
      <w:r w:rsidR="00F07EED" w:rsidRPr="00FB6C72">
        <w:rPr>
          <w:sz w:val="24"/>
          <w:szCs w:val="24"/>
        </w:rPr>
        <w:t xml:space="preserve"> will conduct an initial review of the </w:t>
      </w:r>
      <w:r w:rsidR="00B472D3" w:rsidRPr="00FB6C72">
        <w:rPr>
          <w:sz w:val="24"/>
          <w:szCs w:val="24"/>
        </w:rPr>
        <w:t>development</w:t>
      </w:r>
      <w:r w:rsidR="00F07EED" w:rsidRPr="00FB6C72">
        <w:rPr>
          <w:sz w:val="24"/>
          <w:szCs w:val="24"/>
        </w:rPr>
        <w:t xml:space="preserve"> within 30 days and notify the applicant if a formal </w:t>
      </w:r>
      <w:r w:rsidR="00B472D3" w:rsidRPr="00FB6C72">
        <w:rPr>
          <w:sz w:val="24"/>
          <w:szCs w:val="24"/>
        </w:rPr>
        <w:t>development</w:t>
      </w:r>
      <w:r w:rsidR="00F07EED" w:rsidRPr="00FB6C72">
        <w:rPr>
          <w:sz w:val="24"/>
          <w:szCs w:val="24"/>
        </w:rPr>
        <w:t xml:space="preserve"> loan application will be considered.  Upon receipt of the formal loan application, </w:t>
      </w:r>
      <w:r>
        <w:rPr>
          <w:sz w:val="24"/>
          <w:szCs w:val="24"/>
        </w:rPr>
        <w:t>HTFVC</w:t>
      </w:r>
      <w:r w:rsidR="00F07EED" w:rsidRPr="00FB6C72">
        <w:rPr>
          <w:sz w:val="24"/>
          <w:szCs w:val="24"/>
        </w:rPr>
        <w:t xml:space="preserve"> </w:t>
      </w:r>
      <w:r w:rsidR="00494EED" w:rsidRPr="00FB6C72">
        <w:rPr>
          <w:sz w:val="24"/>
          <w:szCs w:val="24"/>
        </w:rPr>
        <w:t>will review and</w:t>
      </w:r>
      <w:r w:rsidR="002A10AD" w:rsidRPr="00FB6C72">
        <w:rPr>
          <w:sz w:val="24"/>
          <w:szCs w:val="24"/>
        </w:rPr>
        <w:t xml:space="preserve"> underwrite the application package.  </w:t>
      </w:r>
      <w:r w:rsidR="00FB6C72">
        <w:rPr>
          <w:sz w:val="24"/>
          <w:szCs w:val="24"/>
        </w:rPr>
        <w:t xml:space="preserve">The </w:t>
      </w:r>
      <w:r w:rsidR="00F12EB2" w:rsidRPr="00F3579B">
        <w:rPr>
          <w:color w:val="000000"/>
          <w:sz w:val="24"/>
          <w:szCs w:val="24"/>
        </w:rPr>
        <w:t>Underwriting</w:t>
      </w:r>
      <w:r w:rsidR="00FB6C72" w:rsidRPr="00F3579B">
        <w:rPr>
          <w:color w:val="000000"/>
          <w:sz w:val="24"/>
          <w:szCs w:val="24"/>
        </w:rPr>
        <w:t xml:space="preserve"> </w:t>
      </w:r>
      <w:r w:rsidR="00FB6C72">
        <w:rPr>
          <w:sz w:val="24"/>
          <w:szCs w:val="24"/>
        </w:rPr>
        <w:t xml:space="preserve">Committee will make recommendations to the </w:t>
      </w:r>
      <w:r>
        <w:rPr>
          <w:sz w:val="24"/>
          <w:szCs w:val="24"/>
        </w:rPr>
        <w:t>HTFVC</w:t>
      </w:r>
      <w:r w:rsidR="00FB6C72">
        <w:rPr>
          <w:sz w:val="24"/>
          <w:szCs w:val="24"/>
        </w:rPr>
        <w:t xml:space="preserve"> Board of Directors which has final authority for loan approval.</w:t>
      </w:r>
      <w:r w:rsidR="00EF2C6E" w:rsidRPr="00FB6C72">
        <w:rPr>
          <w:sz w:val="24"/>
          <w:szCs w:val="24"/>
        </w:rPr>
        <w:t xml:space="preserve"> </w:t>
      </w:r>
      <w:r w:rsidR="00FB6C72">
        <w:rPr>
          <w:sz w:val="24"/>
          <w:szCs w:val="24"/>
        </w:rPr>
        <w:t>(</w:t>
      </w:r>
      <w:r w:rsidR="00EF2C6E" w:rsidRPr="00FB6C72">
        <w:rPr>
          <w:sz w:val="24"/>
          <w:szCs w:val="24"/>
        </w:rPr>
        <w:t xml:space="preserve">The </w:t>
      </w:r>
      <w:r>
        <w:rPr>
          <w:sz w:val="24"/>
          <w:szCs w:val="24"/>
        </w:rPr>
        <w:t>HTFVC</w:t>
      </w:r>
      <w:r w:rsidR="00EF2C6E" w:rsidRPr="00FB6C72">
        <w:rPr>
          <w:sz w:val="24"/>
          <w:szCs w:val="24"/>
        </w:rPr>
        <w:t xml:space="preserve"> </w:t>
      </w:r>
      <w:r w:rsidR="00FB6C72">
        <w:rPr>
          <w:sz w:val="24"/>
          <w:szCs w:val="24"/>
        </w:rPr>
        <w:t>follows</w:t>
      </w:r>
      <w:r w:rsidR="00EF2C6E" w:rsidRPr="00FB6C72">
        <w:rPr>
          <w:sz w:val="24"/>
          <w:szCs w:val="24"/>
        </w:rPr>
        <w:t xml:space="preserve"> an approved Code of Ethics Policy which includes conflict of interest guidelines.</w:t>
      </w:r>
      <w:r w:rsidR="00FB6C72">
        <w:rPr>
          <w:sz w:val="24"/>
          <w:szCs w:val="24"/>
        </w:rPr>
        <w:t>)</w:t>
      </w:r>
      <w:r w:rsidR="00EF2C6E" w:rsidRPr="00FB6C72">
        <w:rPr>
          <w:sz w:val="24"/>
          <w:szCs w:val="24"/>
        </w:rPr>
        <w:t xml:space="preserve">  </w:t>
      </w:r>
    </w:p>
    <w:p w:rsidR="00BC0BFA" w:rsidRPr="00FB6C72" w:rsidRDefault="00BC0BFA" w:rsidP="00EF2C6E">
      <w:pPr>
        <w:pStyle w:val="EndnoteText"/>
        <w:rPr>
          <w:sz w:val="24"/>
          <w:szCs w:val="24"/>
        </w:rPr>
      </w:pPr>
    </w:p>
    <w:p w:rsidR="00BC0BFA" w:rsidRPr="00F34F5F" w:rsidRDefault="00BC0BFA" w:rsidP="00F34F5F">
      <w:pPr>
        <w:rPr>
          <w:rFonts w:ascii="Calibri" w:hAnsi="Calibri"/>
          <w:b/>
          <w:color w:val="284667"/>
          <w:sz w:val="28"/>
        </w:rPr>
      </w:pPr>
      <w:r w:rsidRPr="00F34F5F">
        <w:rPr>
          <w:rFonts w:ascii="Calibri" w:hAnsi="Calibri"/>
          <w:b/>
          <w:color w:val="284667"/>
          <w:sz w:val="28"/>
        </w:rPr>
        <w:t>Initial Inquiry</w:t>
      </w:r>
    </w:p>
    <w:p w:rsidR="00BC0BFA" w:rsidRDefault="00BC0BFA" w:rsidP="00F34F5F">
      <w:r w:rsidRPr="00C65821">
        <w:br/>
        <w:t xml:space="preserve">Potential applicants are encouraged to </w:t>
      </w:r>
      <w:r>
        <w:t>email</w:t>
      </w:r>
      <w:r w:rsidRPr="00C65821">
        <w:t xml:space="preserve"> the </w:t>
      </w:r>
      <w:r w:rsidR="00755381">
        <w:t>HTFVC</w:t>
      </w:r>
      <w:r w:rsidRPr="00C65821">
        <w:t xml:space="preserve">’s staff to describe their </w:t>
      </w:r>
      <w:r>
        <w:t>development</w:t>
      </w:r>
      <w:r w:rsidRPr="00C65821">
        <w:t xml:space="preserve">s and discuss their financing needs.  A meeting may be arranged for a more extensive review.  </w:t>
      </w:r>
      <w:r>
        <w:t>P</w:t>
      </w:r>
      <w:r w:rsidRPr="00C65821">
        <w:t>rospective applications</w:t>
      </w:r>
      <w:r>
        <w:t xml:space="preserve"> may be discussed</w:t>
      </w:r>
      <w:r w:rsidRPr="00C65821">
        <w:t xml:space="preserve"> with the </w:t>
      </w:r>
      <w:r w:rsidR="00F12EB2" w:rsidRPr="00F3579B">
        <w:rPr>
          <w:color w:val="000000"/>
        </w:rPr>
        <w:t>Underwriting</w:t>
      </w:r>
      <w:r w:rsidRPr="00F3579B">
        <w:rPr>
          <w:color w:val="000000"/>
        </w:rPr>
        <w:t xml:space="preserve"> </w:t>
      </w:r>
      <w:r w:rsidRPr="00C65821">
        <w:t>Committee and/or the Board for policy guidance and/or to discuss priorities for the use of available funds.</w:t>
      </w:r>
    </w:p>
    <w:p w:rsidR="00BC0BFA" w:rsidRPr="00B2348F" w:rsidRDefault="00BC0BFA" w:rsidP="00BC0BFA">
      <w:pPr>
        <w:ind w:left="720"/>
      </w:pPr>
    </w:p>
    <w:p w:rsidR="00BC0BFA" w:rsidRPr="00C65821" w:rsidRDefault="00BC0BFA" w:rsidP="00BC0BFA"/>
    <w:p w:rsidR="00BC0BFA" w:rsidRPr="00F34F5F" w:rsidRDefault="00BC0BFA" w:rsidP="00F34F5F">
      <w:pPr>
        <w:rPr>
          <w:rFonts w:asciiTheme="minorHAnsi" w:hAnsiTheme="minorHAnsi"/>
          <w:b/>
          <w:color w:val="284667"/>
          <w:sz w:val="28"/>
        </w:rPr>
      </w:pPr>
      <w:r w:rsidRPr="00F34F5F">
        <w:rPr>
          <w:rFonts w:asciiTheme="minorHAnsi" w:hAnsiTheme="minorHAnsi"/>
          <w:b/>
          <w:color w:val="284667"/>
          <w:sz w:val="28"/>
        </w:rPr>
        <w:t>Application Review</w:t>
      </w:r>
    </w:p>
    <w:p w:rsidR="00BC0BFA" w:rsidRPr="00C65821" w:rsidRDefault="00BC0BFA" w:rsidP="00BC0BFA"/>
    <w:p w:rsidR="00BC0BFA" w:rsidRPr="00C65821" w:rsidRDefault="00755381" w:rsidP="00F34F5F">
      <w:r>
        <w:t>HTFVC</w:t>
      </w:r>
      <w:r w:rsidR="00BC0BFA" w:rsidRPr="00C65821">
        <w:t xml:space="preserve"> </w:t>
      </w:r>
      <w:r w:rsidR="00BC0BFA">
        <w:t xml:space="preserve">will </w:t>
      </w:r>
      <w:r w:rsidR="00BC0BFA" w:rsidRPr="00C65821">
        <w:t>review, analyze and underwrite</w:t>
      </w:r>
      <w:r w:rsidR="00BC0BFA">
        <w:t xml:space="preserve"> </w:t>
      </w:r>
      <w:r w:rsidR="00BC0BFA" w:rsidRPr="00C65821">
        <w:t xml:space="preserve">the applications.  Preliminary title reports, environmental reports, appraisals or indicators of value, and other third party reports </w:t>
      </w:r>
      <w:r w:rsidR="00BC0BFA">
        <w:t>may be required from applicant</w:t>
      </w:r>
      <w:r w:rsidR="00BC0BFA" w:rsidRPr="00C65821">
        <w:t xml:space="preserve">.  Follow-up information and/or documentation </w:t>
      </w:r>
      <w:r w:rsidR="00BC0BFA">
        <w:t xml:space="preserve">may be </w:t>
      </w:r>
      <w:r w:rsidR="00BC0BFA" w:rsidRPr="00C65821">
        <w:t xml:space="preserve">requested from the applicant.  </w:t>
      </w:r>
      <w:r w:rsidR="00BC0BFA" w:rsidRPr="00EF2C6E">
        <w:t xml:space="preserve">The </w:t>
      </w:r>
      <w:r w:rsidR="005552E8">
        <w:t>package will then be sent to an independent</w:t>
      </w:r>
      <w:r w:rsidR="00BC0BFA" w:rsidRPr="00EF2C6E">
        <w:t xml:space="preserve"> underwriter for evaluation.</w:t>
      </w:r>
      <w:r w:rsidR="00BC0BFA">
        <w:rPr>
          <w:color w:val="FF0000"/>
        </w:rPr>
        <w:t xml:space="preserve"> </w:t>
      </w:r>
      <w:r w:rsidR="00BC0BFA" w:rsidRPr="00C65821">
        <w:t xml:space="preserve">After underwriting and determining that </w:t>
      </w:r>
      <w:r w:rsidR="00BC0BFA">
        <w:t>development</w:t>
      </w:r>
      <w:r w:rsidR="00BC0BFA" w:rsidRPr="00C65821">
        <w:t xml:space="preserve">s meet the </w:t>
      </w:r>
      <w:r>
        <w:t>HTFVC</w:t>
      </w:r>
      <w:r w:rsidR="00BC0BFA" w:rsidRPr="00C65821">
        <w:t>’s requirements</w:t>
      </w:r>
      <w:r w:rsidR="005552E8">
        <w:t>,</w:t>
      </w:r>
      <w:r w:rsidR="00BC0BFA" w:rsidRPr="00C65821">
        <w:t xml:space="preserve"> reports</w:t>
      </w:r>
      <w:r w:rsidR="00BC0BFA">
        <w:t xml:space="preserve"> will be prepared and submitted</w:t>
      </w:r>
      <w:r w:rsidR="00BC0BFA" w:rsidRPr="00C65821">
        <w:t xml:space="preserve"> to the </w:t>
      </w:r>
      <w:r w:rsidR="00945EB9">
        <w:t>Underwriting</w:t>
      </w:r>
      <w:r w:rsidR="00BC0BFA" w:rsidRPr="00C65821">
        <w:t xml:space="preserve"> Committee.  The reports </w:t>
      </w:r>
      <w:r w:rsidR="00BC0BFA">
        <w:t xml:space="preserve">will </w:t>
      </w:r>
      <w:r w:rsidR="00BC0BFA" w:rsidRPr="00C65821">
        <w:t xml:space="preserve">describe the applicants and their </w:t>
      </w:r>
      <w:r w:rsidR="00BC0BFA">
        <w:t>development</w:t>
      </w:r>
      <w:r w:rsidR="00BC0BFA" w:rsidRPr="00C65821">
        <w:t>s; analyze various risks and recommend loan terms and conditions.</w:t>
      </w:r>
    </w:p>
    <w:p w:rsidR="00BC0BFA" w:rsidRPr="00C65821" w:rsidRDefault="00BC0BFA" w:rsidP="00BC0BFA"/>
    <w:p w:rsidR="00BC0BFA" w:rsidRPr="00F34F5F" w:rsidRDefault="00BC0BFA" w:rsidP="00F34F5F">
      <w:pPr>
        <w:rPr>
          <w:rFonts w:ascii="Calibri" w:hAnsi="Calibri"/>
          <w:b/>
          <w:color w:val="284667"/>
          <w:sz w:val="28"/>
        </w:rPr>
      </w:pPr>
      <w:r w:rsidRPr="00F34F5F">
        <w:rPr>
          <w:rFonts w:ascii="Calibri" w:hAnsi="Calibri"/>
          <w:b/>
          <w:color w:val="284667"/>
          <w:sz w:val="28"/>
        </w:rPr>
        <w:t>Board approval</w:t>
      </w:r>
    </w:p>
    <w:p w:rsidR="00BC0BFA" w:rsidRPr="00C65821" w:rsidRDefault="00BC0BFA" w:rsidP="00BC0BFA"/>
    <w:p w:rsidR="00BC0BFA" w:rsidRDefault="00BC0BFA" w:rsidP="00F34F5F">
      <w:r>
        <w:t>F</w:t>
      </w:r>
      <w:r w:rsidRPr="00C65821">
        <w:t xml:space="preserve">ormal reports </w:t>
      </w:r>
      <w:r>
        <w:t xml:space="preserve">will be prepared </w:t>
      </w:r>
      <w:r w:rsidRPr="00C65821">
        <w:t xml:space="preserve">for the Board of Directors that outline the </w:t>
      </w:r>
      <w:r w:rsidR="00945EB9">
        <w:t>Underwriting</w:t>
      </w:r>
      <w:r w:rsidRPr="00C65821">
        <w:t xml:space="preserve"> Committee’s considerations and recommendations on each application.  </w:t>
      </w:r>
      <w:r>
        <w:t>A</w:t>
      </w:r>
      <w:r w:rsidRPr="00C65821">
        <w:t xml:space="preserve"> presentation on the application</w:t>
      </w:r>
      <w:r>
        <w:t>(</w:t>
      </w:r>
      <w:r w:rsidRPr="00C65821">
        <w:t>s</w:t>
      </w:r>
      <w:r>
        <w:t>)</w:t>
      </w:r>
      <w:r w:rsidRPr="00C65821">
        <w:t xml:space="preserve"> and </w:t>
      </w:r>
      <w:r w:rsidR="00945EB9">
        <w:t>Underwriting</w:t>
      </w:r>
      <w:r w:rsidRPr="00C65821">
        <w:t xml:space="preserve"> Committee recommendation</w:t>
      </w:r>
      <w:r>
        <w:t>(</w:t>
      </w:r>
      <w:r w:rsidRPr="00C65821">
        <w:t>s</w:t>
      </w:r>
      <w:r>
        <w:t>) will be made</w:t>
      </w:r>
      <w:r w:rsidRPr="00C65821">
        <w:t xml:space="preserve"> to the Board.  The Board considers and makes the final decision regarding each application.  The Board may concur with the recommendations of the </w:t>
      </w:r>
      <w:r w:rsidR="00945EB9">
        <w:t>Underwriting</w:t>
      </w:r>
      <w:r w:rsidRPr="00C65821">
        <w:t xml:space="preserve"> Committee or may deny applications or approve them with different terms or conditions.</w:t>
      </w:r>
    </w:p>
    <w:p w:rsidR="00BC0BFA" w:rsidRPr="00C65821" w:rsidRDefault="00BC0BFA" w:rsidP="00BC0BFA">
      <w:pPr>
        <w:ind w:left="720"/>
      </w:pPr>
    </w:p>
    <w:p w:rsidR="00BC0BFA" w:rsidRPr="00C65821" w:rsidRDefault="00BC0BFA" w:rsidP="00BC0BFA"/>
    <w:p w:rsidR="00BC0BFA" w:rsidRPr="00F34F5F" w:rsidRDefault="00BC0BFA" w:rsidP="00F34F5F">
      <w:pPr>
        <w:jc w:val="center"/>
        <w:rPr>
          <w:rFonts w:ascii="Calibri" w:hAnsi="Calibri"/>
          <w:b/>
          <w:color w:val="000000" w:themeColor="text1"/>
          <w:sz w:val="32"/>
        </w:rPr>
      </w:pPr>
      <w:r w:rsidRPr="00F34F5F">
        <w:rPr>
          <w:rFonts w:ascii="Calibri" w:hAnsi="Calibri"/>
          <w:b/>
          <w:color w:val="000000" w:themeColor="text1"/>
          <w:sz w:val="32"/>
        </w:rPr>
        <w:t>Underwriting Guidelines</w:t>
      </w:r>
    </w:p>
    <w:p w:rsidR="00BC0BFA" w:rsidRPr="00C65821" w:rsidRDefault="00BC0BFA" w:rsidP="00BC0BFA"/>
    <w:p w:rsidR="00BC0BFA" w:rsidRPr="00C65821" w:rsidRDefault="00BC0BFA" w:rsidP="00BC0BFA">
      <w:r w:rsidRPr="00C65821">
        <w:t xml:space="preserve">Underwriting is the process of evaluating whether 1) the request meets our eligibility and targeting requirements, 2) the </w:t>
      </w:r>
      <w:r>
        <w:t>development</w:t>
      </w:r>
      <w:r w:rsidRPr="00C65821">
        <w:t xml:space="preserve"> is viable, and 3)</w:t>
      </w:r>
      <w:r>
        <w:t xml:space="preserve"> </w:t>
      </w:r>
      <w:r w:rsidRPr="00EF2C6E">
        <w:t>whether the sponsor has the ability to perform, and 4)</w:t>
      </w:r>
      <w:r w:rsidRPr="00C65821">
        <w:t xml:space="preserve"> the loan should be recommended for approval.  The underwriting of affordable housing </w:t>
      </w:r>
      <w:r>
        <w:t>development</w:t>
      </w:r>
      <w:r w:rsidRPr="00C65821">
        <w:t xml:space="preserve">s is an involved process.  These Guidelines include a chart that summarizes many of the standards that </w:t>
      </w:r>
      <w:r w:rsidR="00755381">
        <w:t>HTFVC</w:t>
      </w:r>
      <w:r w:rsidRPr="00C65821">
        <w:t xml:space="preserve"> will use in underwriting applications.  This chart is followed by short discussions of these and other underwriting considerations.</w:t>
      </w:r>
    </w:p>
    <w:p w:rsidR="00BC0BFA" w:rsidRDefault="00BC0BFA" w:rsidP="00BC0BFA"/>
    <w:p w:rsidR="00BC0BFA" w:rsidRDefault="00BC0BFA" w:rsidP="00BC0BFA">
      <w:r w:rsidRPr="00C65821">
        <w:t xml:space="preserve">The fiscal soundness and integrity of </w:t>
      </w:r>
      <w:r w:rsidR="00755381">
        <w:t>HTFVC</w:t>
      </w:r>
      <w:r w:rsidRPr="00C65821">
        <w:t xml:space="preserve"> are dependent on the successful repayment of all of the loans that we make.  Consequently, we tend to focus on the following three areas when underwriting a loan application:</w:t>
      </w:r>
    </w:p>
    <w:p w:rsidR="00BC0BFA" w:rsidRPr="00C65821" w:rsidRDefault="00BC0BFA" w:rsidP="00BC0BFA"/>
    <w:p w:rsidR="00BC0BFA" w:rsidRPr="00C65821" w:rsidRDefault="00BC0BFA" w:rsidP="00BC0BFA">
      <w:pPr>
        <w:numPr>
          <w:ilvl w:val="0"/>
          <w:numId w:val="47"/>
        </w:numPr>
      </w:pPr>
      <w:r w:rsidRPr="00C65821">
        <w:t xml:space="preserve">Whether the </w:t>
      </w:r>
      <w:r>
        <w:t>development</w:t>
      </w:r>
      <w:r w:rsidRPr="00C65821">
        <w:t xml:space="preserve"> will be completed successfully</w:t>
      </w:r>
    </w:p>
    <w:p w:rsidR="00BC0BFA" w:rsidRPr="00C65821" w:rsidRDefault="00BC0BFA" w:rsidP="00BC0BFA">
      <w:pPr>
        <w:numPr>
          <w:ilvl w:val="0"/>
          <w:numId w:val="47"/>
        </w:numPr>
      </w:pPr>
      <w:r w:rsidRPr="00C65821">
        <w:t xml:space="preserve">Whether our loan will be repaid </w:t>
      </w:r>
      <w:r w:rsidR="005552E8">
        <w:t>as</w:t>
      </w:r>
      <w:r w:rsidRPr="00C65821">
        <w:t xml:space="preserve"> schedule</w:t>
      </w:r>
      <w:r w:rsidR="005552E8">
        <w:t>d</w:t>
      </w:r>
    </w:p>
    <w:p w:rsidR="00BC0BFA" w:rsidRPr="00C65821" w:rsidRDefault="00BC0BFA" w:rsidP="00BC0BFA">
      <w:pPr>
        <w:numPr>
          <w:ilvl w:val="0"/>
          <w:numId w:val="47"/>
        </w:numPr>
      </w:pPr>
      <w:r w:rsidRPr="00C65821">
        <w:t>Whether we have adequate loan collateral in case something goes wrong</w:t>
      </w:r>
    </w:p>
    <w:p w:rsidR="00BC0BFA" w:rsidRPr="00C65821" w:rsidRDefault="00BC0BFA" w:rsidP="00BC0BFA"/>
    <w:p w:rsidR="00BC0BFA" w:rsidRDefault="00BC0BFA" w:rsidP="00BC0BFA">
      <w:r w:rsidRPr="00C65821">
        <w:t xml:space="preserve">To the greatest extent possible, </w:t>
      </w:r>
      <w:r w:rsidR="00755381">
        <w:t>HTFVC</w:t>
      </w:r>
      <w:r w:rsidRPr="00C65821">
        <w:t xml:space="preserve"> relies on documents that are produced for other lenders or other purposes when underwriting a requested loan.  Such documents may include, but not be limited to, application forms, budgets and financial analyses, appraisals, environmental assessments, engineering reports, plans and specifications, market studies and financial statements.  </w:t>
      </w:r>
    </w:p>
    <w:p w:rsidR="00BC0BFA" w:rsidRDefault="00BC0BFA" w:rsidP="00BC0BFA"/>
    <w:p w:rsidR="00BC0BFA" w:rsidRDefault="00BC0BFA" w:rsidP="00BC0BFA"/>
    <w:p w:rsidR="00BC0BFA" w:rsidRDefault="00BC0BFA" w:rsidP="00BC0BFA"/>
    <w:p w:rsidR="00BC0BFA" w:rsidRDefault="00BC0BFA" w:rsidP="00BC0BFA">
      <w:pPr>
        <w:ind w:firstLine="720"/>
        <w:rPr>
          <w:b/>
        </w:rPr>
      </w:pPr>
    </w:p>
    <w:p w:rsidR="00BC0BFA" w:rsidRPr="00F34F5F" w:rsidRDefault="00BC0BFA" w:rsidP="00F34F5F">
      <w:pPr>
        <w:rPr>
          <w:rFonts w:ascii="Calibri" w:hAnsi="Calibri"/>
          <w:b/>
          <w:color w:val="284667"/>
          <w:sz w:val="28"/>
        </w:rPr>
      </w:pPr>
      <w:r w:rsidRPr="00F34F5F">
        <w:rPr>
          <w:rFonts w:ascii="Calibri" w:hAnsi="Calibri"/>
          <w:b/>
          <w:color w:val="284667"/>
          <w:sz w:val="28"/>
        </w:rPr>
        <w:t>Underwriting Guidelines Table</w:t>
      </w:r>
    </w:p>
    <w:p w:rsidR="00BC0BFA" w:rsidRPr="00C65821" w:rsidRDefault="00BC0BFA" w:rsidP="00BC0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7389"/>
        <w:tblGridChange w:id="0">
          <w:tblGrid>
            <w:gridCol w:w="2681"/>
            <w:gridCol w:w="7389"/>
          </w:tblGrid>
        </w:tblGridChange>
      </w:tblGrid>
      <w:tr w:rsidR="00BC0BFA" w:rsidRPr="00C65821" w:rsidTr="0098021B">
        <w:tc>
          <w:tcPr>
            <w:tcW w:w="2718" w:type="dxa"/>
          </w:tcPr>
          <w:p w:rsidR="00BC0BFA" w:rsidRPr="00C65821" w:rsidRDefault="00BC0BFA" w:rsidP="0098021B">
            <w:r w:rsidRPr="00C65821">
              <w:t>Eligible Borrowers</w:t>
            </w:r>
          </w:p>
        </w:tc>
        <w:tc>
          <w:tcPr>
            <w:tcW w:w="7578" w:type="dxa"/>
          </w:tcPr>
          <w:p w:rsidR="00BC0BFA" w:rsidRPr="00C65821" w:rsidRDefault="00BC0BFA" w:rsidP="0098021B">
            <w:r w:rsidRPr="00C65821">
              <w:t xml:space="preserve">Any legal entity including individuals, partnerships, corporations, public agencies or any </w:t>
            </w:r>
            <w:r>
              <w:t>combination thereof</w:t>
            </w:r>
            <w:r w:rsidRPr="00C65821">
              <w:t>.</w:t>
            </w:r>
            <w:r>
              <w:rPr>
                <w:rStyle w:val="FootnoteReference"/>
              </w:rPr>
              <w:footnoteReference w:id="2"/>
            </w:r>
          </w:p>
        </w:tc>
      </w:tr>
      <w:tr w:rsidR="00BC0BFA" w:rsidRPr="00C65821" w:rsidTr="0098021B">
        <w:trPr>
          <w:trHeight w:val="170"/>
        </w:trPr>
        <w:tc>
          <w:tcPr>
            <w:tcW w:w="2718" w:type="dxa"/>
          </w:tcPr>
          <w:p w:rsidR="00BC0BFA" w:rsidRPr="00C65821" w:rsidRDefault="00BC0BFA" w:rsidP="0098021B">
            <w:r w:rsidRPr="00C65821">
              <w:t xml:space="preserve">Eligible </w:t>
            </w:r>
            <w:r>
              <w:t>Development</w:t>
            </w:r>
            <w:r w:rsidRPr="00C65821">
              <w:t>s</w:t>
            </w:r>
          </w:p>
        </w:tc>
        <w:tc>
          <w:tcPr>
            <w:tcW w:w="7578" w:type="dxa"/>
          </w:tcPr>
          <w:p w:rsidR="00BC0BFA" w:rsidRPr="00C65821" w:rsidRDefault="00BC0BFA" w:rsidP="0098021B">
            <w:r w:rsidRPr="00C65821">
              <w:t xml:space="preserve">Affordable rental housing including transitional housing, mixed income developments and mixed use </w:t>
            </w:r>
            <w:r>
              <w:t>development</w:t>
            </w:r>
            <w:r w:rsidRPr="00C65821">
              <w:t>s.</w:t>
            </w:r>
          </w:p>
        </w:tc>
      </w:tr>
      <w:tr w:rsidR="00BC0BFA" w:rsidRPr="00C65821" w:rsidTr="0098021B">
        <w:tc>
          <w:tcPr>
            <w:tcW w:w="2718" w:type="dxa"/>
          </w:tcPr>
          <w:p w:rsidR="00BC0BFA" w:rsidRPr="00C65821" w:rsidRDefault="00BC0BFA" w:rsidP="0098021B">
            <w:r w:rsidRPr="00C65821">
              <w:t>Eligible Use of Funds</w:t>
            </w:r>
          </w:p>
        </w:tc>
        <w:tc>
          <w:tcPr>
            <w:tcW w:w="7578" w:type="dxa"/>
          </w:tcPr>
          <w:p w:rsidR="00BC0BFA" w:rsidRPr="00C65821" w:rsidRDefault="00BC0BFA" w:rsidP="0098021B">
            <w:r>
              <w:t>Development</w:t>
            </w:r>
            <w:r w:rsidRPr="00C65821">
              <w:t xml:space="preserve"> planning and predevelopment, site development, construction, </w:t>
            </w:r>
            <w:r>
              <w:t>acquisition/conversion for new affordable</w:t>
            </w:r>
            <w:r w:rsidRPr="00C65821">
              <w:t xml:space="preserve"> units or to fill financing </w:t>
            </w:r>
            <w:r>
              <w:t>gap</w:t>
            </w:r>
            <w:r w:rsidRPr="00C65821">
              <w:t>s.</w:t>
            </w:r>
          </w:p>
        </w:tc>
      </w:tr>
      <w:tr w:rsidR="00BC0BFA" w:rsidRPr="00C65821" w:rsidTr="0098021B">
        <w:tc>
          <w:tcPr>
            <w:tcW w:w="2718" w:type="dxa"/>
          </w:tcPr>
          <w:p w:rsidR="00BC0BFA" w:rsidRPr="00C65821" w:rsidRDefault="00BC0BFA" w:rsidP="0098021B">
            <w:r w:rsidRPr="00C65821">
              <w:t>Income Targeting</w:t>
            </w:r>
          </w:p>
        </w:tc>
        <w:tc>
          <w:tcPr>
            <w:tcW w:w="7578" w:type="dxa"/>
          </w:tcPr>
          <w:p w:rsidR="00BC0BFA" w:rsidRPr="00C65821" w:rsidRDefault="00BC0BFA" w:rsidP="0098021B">
            <w:r w:rsidRPr="00C65821">
              <w:t>Extremely low, very low, low and moderate income household</w:t>
            </w:r>
            <w:r>
              <w:t>s.</w:t>
            </w:r>
            <w:r>
              <w:rPr>
                <w:rStyle w:val="FootnoteReference"/>
              </w:rPr>
              <w:footnoteReference w:id="3"/>
            </w:r>
          </w:p>
        </w:tc>
      </w:tr>
      <w:tr w:rsidR="00BC0BFA" w:rsidRPr="00C65821" w:rsidTr="0098021B">
        <w:tc>
          <w:tcPr>
            <w:tcW w:w="2718" w:type="dxa"/>
          </w:tcPr>
          <w:p w:rsidR="00BC0BFA" w:rsidRPr="00C65821" w:rsidRDefault="00BC0BFA" w:rsidP="0098021B">
            <w:r w:rsidRPr="00C65821">
              <w:t xml:space="preserve">Location of </w:t>
            </w:r>
            <w:r>
              <w:t>Development</w:t>
            </w:r>
          </w:p>
        </w:tc>
        <w:tc>
          <w:tcPr>
            <w:tcW w:w="7578" w:type="dxa"/>
          </w:tcPr>
          <w:p w:rsidR="00BC0BFA" w:rsidRPr="00C65821" w:rsidRDefault="00755381" w:rsidP="0098021B">
            <w:r>
              <w:t>HTFVC</w:t>
            </w:r>
            <w:r w:rsidR="00BC0BFA" w:rsidRPr="00C65821">
              <w:t xml:space="preserve"> will only finance </w:t>
            </w:r>
            <w:r w:rsidR="00BC0BFA">
              <w:t>development</w:t>
            </w:r>
            <w:r w:rsidR="00BC0BFA" w:rsidRPr="00C65821">
              <w:t xml:space="preserve">s located in </w:t>
            </w:r>
            <w:smartTag w:uri="urn:schemas-microsoft-com:office:smarttags" w:element="place">
              <w:smartTag w:uri="urn:schemas-microsoft-com:office:smarttags" w:element="PlaceName">
                <w:r w:rsidR="00BC0BFA" w:rsidRPr="00C65821">
                  <w:t>Ventura</w:t>
                </w:r>
              </w:smartTag>
              <w:r w:rsidR="00BC0BFA" w:rsidRPr="00C65821">
                <w:t xml:space="preserve"> </w:t>
              </w:r>
              <w:smartTag w:uri="urn:schemas-microsoft-com:office:smarttags" w:element="PlaceType">
                <w:r w:rsidR="00BC0BFA" w:rsidRPr="00C65821">
                  <w:t>County</w:t>
                </w:r>
              </w:smartTag>
            </w:smartTag>
            <w:r w:rsidR="00BC0BFA" w:rsidRPr="00C65821">
              <w:t>.</w:t>
            </w:r>
          </w:p>
        </w:tc>
      </w:tr>
      <w:tr w:rsidR="00BC0BFA" w:rsidRPr="00C65821" w:rsidTr="0098021B">
        <w:tc>
          <w:tcPr>
            <w:tcW w:w="2718" w:type="dxa"/>
          </w:tcPr>
          <w:p w:rsidR="00BC0BFA" w:rsidRPr="00C65821" w:rsidRDefault="00BC0BFA" w:rsidP="0098021B">
            <w:r w:rsidRPr="00C65821">
              <w:t>Collateral Required</w:t>
            </w:r>
          </w:p>
        </w:tc>
        <w:tc>
          <w:tcPr>
            <w:tcW w:w="7578" w:type="dxa"/>
          </w:tcPr>
          <w:p w:rsidR="00BC0BFA" w:rsidRPr="00C65821" w:rsidRDefault="00BC0BFA" w:rsidP="0098021B">
            <w:r>
              <w:t>The underlying real property of the subject development.  Additional collateral may also be required.</w:t>
            </w:r>
          </w:p>
        </w:tc>
      </w:tr>
      <w:tr w:rsidR="00BC0BFA" w:rsidRPr="00C65821" w:rsidTr="0098021B">
        <w:tc>
          <w:tcPr>
            <w:tcW w:w="2718" w:type="dxa"/>
          </w:tcPr>
          <w:p w:rsidR="00BC0BFA" w:rsidRPr="00C65821" w:rsidRDefault="00BC0BFA" w:rsidP="0098021B">
            <w:r w:rsidRPr="00C65821">
              <w:t>Location of Collateral</w:t>
            </w:r>
          </w:p>
        </w:tc>
        <w:tc>
          <w:tcPr>
            <w:tcW w:w="7578" w:type="dxa"/>
          </w:tcPr>
          <w:p w:rsidR="00BC0BFA" w:rsidRPr="00C65821" w:rsidRDefault="00BC0BFA" w:rsidP="0098021B">
            <w:r w:rsidRPr="00C65821">
              <w:t>Negotiable.</w:t>
            </w:r>
          </w:p>
        </w:tc>
      </w:tr>
      <w:tr w:rsidR="00BC0BFA" w:rsidRPr="00C65821" w:rsidTr="0098021B">
        <w:tc>
          <w:tcPr>
            <w:tcW w:w="2718" w:type="dxa"/>
          </w:tcPr>
          <w:p w:rsidR="00BC0BFA" w:rsidRPr="00C65821" w:rsidRDefault="00BC0BFA" w:rsidP="0098021B">
            <w:r w:rsidRPr="005552E8">
              <w:t>Min/Max Loan Amounts</w:t>
            </w:r>
          </w:p>
        </w:tc>
        <w:tc>
          <w:tcPr>
            <w:tcW w:w="7578" w:type="dxa"/>
          </w:tcPr>
          <w:p w:rsidR="00BC0BFA" w:rsidRPr="00C65821" w:rsidRDefault="00BC0BFA" w:rsidP="005552E8">
            <w:r w:rsidRPr="00C65821">
              <w:t xml:space="preserve">$ </w:t>
            </w:r>
            <w:r>
              <w:t>50,000</w:t>
            </w:r>
            <w:r w:rsidRPr="00C65821">
              <w:t xml:space="preserve"> </w:t>
            </w:r>
            <w:r w:rsidR="005552E8">
              <w:t>minimum loan amount; $2</w:t>
            </w:r>
            <w:r>
              <w:t xml:space="preserve">,000,000 maximum </w:t>
            </w:r>
            <w:r w:rsidR="005552E8">
              <w:t xml:space="preserve">for a single </w:t>
            </w:r>
            <w:r>
              <w:t xml:space="preserve">loan </w:t>
            </w:r>
            <w:r w:rsidR="005552E8">
              <w:t>and the total of all HTFVC loans to a single project</w:t>
            </w:r>
            <w:r>
              <w:t>.</w:t>
            </w:r>
          </w:p>
        </w:tc>
      </w:tr>
      <w:tr w:rsidR="00BC0BFA" w:rsidRPr="00C65821" w:rsidTr="0098021B">
        <w:tc>
          <w:tcPr>
            <w:tcW w:w="2718" w:type="dxa"/>
          </w:tcPr>
          <w:p w:rsidR="00BC0BFA" w:rsidRPr="00C65821" w:rsidRDefault="00BC0BFA" w:rsidP="0098021B">
            <w:r w:rsidRPr="00C65821">
              <w:t>Interest Rate</w:t>
            </w:r>
          </w:p>
        </w:tc>
        <w:tc>
          <w:tcPr>
            <w:tcW w:w="7578" w:type="dxa"/>
          </w:tcPr>
          <w:p w:rsidR="00BC0BFA" w:rsidRPr="00C65821" w:rsidRDefault="00BC0BFA" w:rsidP="0098021B">
            <w:r>
              <w:t xml:space="preserve"> Rate will be set at time of issuance of</w:t>
            </w:r>
            <w:r w:rsidR="005552E8">
              <w:t xml:space="preserve"> underwriting.</w:t>
            </w:r>
          </w:p>
        </w:tc>
      </w:tr>
      <w:tr w:rsidR="00BC0BFA" w:rsidRPr="00C65821" w:rsidTr="0098021B">
        <w:tc>
          <w:tcPr>
            <w:tcW w:w="2718" w:type="dxa"/>
          </w:tcPr>
          <w:p w:rsidR="00BC0BFA" w:rsidRDefault="00BC0BFA" w:rsidP="005552E8">
            <w:r>
              <w:t>Underwriting Fee</w:t>
            </w:r>
          </w:p>
        </w:tc>
        <w:tc>
          <w:tcPr>
            <w:tcW w:w="7578" w:type="dxa"/>
          </w:tcPr>
          <w:p w:rsidR="00BC0BFA" w:rsidRDefault="00BC0BFA" w:rsidP="005552E8">
            <w:r>
              <w:t>A</w:t>
            </w:r>
            <w:r w:rsidR="005552E8">
              <w:t xml:space="preserve"> $750</w:t>
            </w:r>
            <w:r>
              <w:t xml:space="preserve"> underwriting fee will be collected </w:t>
            </w:r>
            <w:r w:rsidR="005552E8">
              <w:t>at time of loan closing.</w:t>
            </w:r>
            <w:r>
              <w:t xml:space="preserve">  </w:t>
            </w:r>
          </w:p>
        </w:tc>
      </w:tr>
      <w:tr w:rsidR="00BC0BFA" w:rsidRPr="00C65821" w:rsidTr="0098021B">
        <w:tc>
          <w:tcPr>
            <w:tcW w:w="2718" w:type="dxa"/>
          </w:tcPr>
          <w:p w:rsidR="00BC0BFA" w:rsidRDefault="00BC0BFA" w:rsidP="0098021B">
            <w:r w:rsidRPr="005552E8">
              <w:t>Application Fee</w:t>
            </w:r>
          </w:p>
        </w:tc>
        <w:tc>
          <w:tcPr>
            <w:tcW w:w="7578" w:type="dxa"/>
          </w:tcPr>
          <w:p w:rsidR="00BC0BFA" w:rsidRDefault="00BC0BFA" w:rsidP="005552E8">
            <w:r>
              <w:t>A non-refundable application fee of $500 is required</w:t>
            </w:r>
            <w:r w:rsidR="005552E8">
              <w:t xml:space="preserve"> to be</w:t>
            </w:r>
            <w:r>
              <w:t xml:space="preserve"> s</w:t>
            </w:r>
            <w:r w:rsidR="005552E8">
              <w:t>ubmitted with the full application. If a preliminary application is requested, half of the fee amount shall be submitted with the preliminary application.</w:t>
            </w:r>
          </w:p>
        </w:tc>
      </w:tr>
      <w:tr w:rsidR="00BC0BFA" w:rsidRPr="00C65821" w:rsidTr="0098021B">
        <w:tc>
          <w:tcPr>
            <w:tcW w:w="2718" w:type="dxa"/>
          </w:tcPr>
          <w:p w:rsidR="00BC0BFA" w:rsidRPr="00C65821" w:rsidRDefault="00BC0BFA" w:rsidP="0098021B">
            <w:r>
              <w:t>Loan Documentation Fee</w:t>
            </w:r>
          </w:p>
        </w:tc>
        <w:tc>
          <w:tcPr>
            <w:tcW w:w="7578" w:type="dxa"/>
          </w:tcPr>
          <w:p w:rsidR="00BC0BFA" w:rsidRPr="00C65821" w:rsidRDefault="005552E8" w:rsidP="005552E8">
            <w:r>
              <w:t>Any</w:t>
            </w:r>
            <w:r w:rsidR="00BC0BFA">
              <w:t xml:space="preserve"> loan documentation fee </w:t>
            </w:r>
            <w:r>
              <w:t xml:space="preserve">charged </w:t>
            </w:r>
            <w:r w:rsidR="00BC0BFA">
              <w:t xml:space="preserve">will be paid at closing. </w:t>
            </w:r>
            <w:r>
              <w:t>A</w:t>
            </w:r>
            <w:r w:rsidR="00BC0BFA">
              <w:t>mount will be based on complexity of loan documents and associated Attorney costs.</w:t>
            </w:r>
          </w:p>
        </w:tc>
      </w:tr>
      <w:tr w:rsidR="00BC0BFA" w:rsidRPr="00C65821" w:rsidTr="0098021B">
        <w:tc>
          <w:tcPr>
            <w:tcW w:w="2718" w:type="dxa"/>
          </w:tcPr>
          <w:p w:rsidR="00BC0BFA" w:rsidRPr="00C65821" w:rsidRDefault="00BC0BFA" w:rsidP="0098021B">
            <w:r w:rsidRPr="00C65821">
              <w:t>Loan Fee</w:t>
            </w:r>
          </w:p>
        </w:tc>
        <w:tc>
          <w:tcPr>
            <w:tcW w:w="7578" w:type="dxa"/>
          </w:tcPr>
          <w:p w:rsidR="00BC0BFA" w:rsidRPr="00C65821" w:rsidRDefault="00BC0BFA" w:rsidP="0098021B">
            <w:r w:rsidRPr="00C65821">
              <w:t xml:space="preserve">1.0% </w:t>
            </w:r>
            <w:r>
              <w:t xml:space="preserve">of loan amount </w:t>
            </w:r>
            <w:r w:rsidR="005552E8">
              <w:t xml:space="preserve">due </w:t>
            </w:r>
            <w:r>
              <w:t>at closing.</w:t>
            </w:r>
          </w:p>
        </w:tc>
      </w:tr>
      <w:tr w:rsidR="00BC0BFA" w:rsidRPr="00C65821" w:rsidTr="0098021B">
        <w:tc>
          <w:tcPr>
            <w:tcW w:w="2718" w:type="dxa"/>
          </w:tcPr>
          <w:p w:rsidR="00BC0BFA" w:rsidRPr="00C65821" w:rsidRDefault="00BC0BFA" w:rsidP="0098021B">
            <w:r>
              <w:t>Escrow Fees</w:t>
            </w:r>
          </w:p>
        </w:tc>
        <w:tc>
          <w:tcPr>
            <w:tcW w:w="7578" w:type="dxa"/>
          </w:tcPr>
          <w:p w:rsidR="00BC0BFA" w:rsidRDefault="00BC0BFA" w:rsidP="0098021B">
            <w:r>
              <w:t>An escrow will be required.  Fees and requirements of that escrow are the responsibility of the borrower.</w:t>
            </w:r>
          </w:p>
        </w:tc>
      </w:tr>
      <w:tr w:rsidR="00BC0BFA" w:rsidRPr="00C65821" w:rsidTr="0098021B">
        <w:tc>
          <w:tcPr>
            <w:tcW w:w="2718" w:type="dxa"/>
          </w:tcPr>
          <w:p w:rsidR="00BC0BFA" w:rsidRPr="005F1454" w:rsidRDefault="00BC0BFA" w:rsidP="0098021B">
            <w:pPr>
              <w:rPr>
                <w:highlight w:val="yellow"/>
              </w:rPr>
            </w:pPr>
            <w:r w:rsidRPr="00132738">
              <w:t>Max. Loan to Value Ratio (LTV or CLTV)</w:t>
            </w:r>
          </w:p>
        </w:tc>
        <w:tc>
          <w:tcPr>
            <w:tcW w:w="7578" w:type="dxa"/>
          </w:tcPr>
          <w:p w:rsidR="00BC0BFA" w:rsidRPr="00C65821" w:rsidRDefault="00BC0BFA" w:rsidP="0098021B">
            <w:r>
              <w:t>Up</w:t>
            </w:r>
            <w:r w:rsidR="00132738">
              <w:t xml:space="preserve"> to 12</w:t>
            </w:r>
            <w:r w:rsidRPr="00C65821">
              <w:t xml:space="preserve">0% (including any senior debt) depending on the specific characteristics of the </w:t>
            </w:r>
            <w:r>
              <w:t>development</w:t>
            </w:r>
            <w:r w:rsidRPr="00C65821">
              <w:t xml:space="preserve"> and borrower.</w:t>
            </w:r>
          </w:p>
        </w:tc>
      </w:tr>
      <w:tr w:rsidR="00BC0BFA" w:rsidRPr="00C65821" w:rsidTr="0098021B">
        <w:tc>
          <w:tcPr>
            <w:tcW w:w="2718" w:type="dxa"/>
          </w:tcPr>
          <w:p w:rsidR="00BC0BFA" w:rsidRPr="005F1454" w:rsidRDefault="00BC0BFA" w:rsidP="0098021B">
            <w:pPr>
              <w:rPr>
                <w:highlight w:val="yellow"/>
              </w:rPr>
            </w:pPr>
            <w:r w:rsidRPr="00BD2AE9">
              <w:t>Maximum Loan Term</w:t>
            </w:r>
          </w:p>
        </w:tc>
        <w:tc>
          <w:tcPr>
            <w:tcW w:w="7578" w:type="dxa"/>
          </w:tcPr>
          <w:p w:rsidR="00BC0BFA" w:rsidRPr="00003C67" w:rsidRDefault="00132738" w:rsidP="00BD2AE9">
            <w:r>
              <w:rPr>
                <w:color w:val="000000"/>
              </w:rPr>
              <w:t xml:space="preserve">Typically </w:t>
            </w:r>
            <w:r w:rsidR="00BD2AE9">
              <w:rPr>
                <w:color w:val="000000"/>
              </w:rPr>
              <w:t>24 to 60</w:t>
            </w:r>
            <w:r w:rsidR="00BC0BFA" w:rsidRPr="00003C67">
              <w:rPr>
                <w:color w:val="000000"/>
              </w:rPr>
              <w:t xml:space="preserve"> months</w:t>
            </w:r>
            <w:r w:rsidR="00BD2AE9">
              <w:rPr>
                <w:color w:val="000000"/>
              </w:rPr>
              <w:t xml:space="preserve"> d</w:t>
            </w:r>
            <w:r w:rsidR="00BD2AE9">
              <w:rPr>
                <w:color w:val="000000"/>
              </w:rPr>
              <w:t>epending on the amount, purpose, project and borrower.</w:t>
            </w:r>
            <w:r w:rsidR="00BD2AE9">
              <w:rPr>
                <w:color w:val="000000"/>
              </w:rPr>
              <w:t xml:space="preserve"> Longer and shorter loan terms will be considered.</w:t>
            </w:r>
          </w:p>
        </w:tc>
      </w:tr>
      <w:tr w:rsidR="00BC0BFA" w:rsidRPr="00C65821" w:rsidTr="0098021B">
        <w:tc>
          <w:tcPr>
            <w:tcW w:w="2718" w:type="dxa"/>
          </w:tcPr>
          <w:p w:rsidR="00BC0BFA" w:rsidRPr="00C65821" w:rsidRDefault="00BC0BFA" w:rsidP="0098021B">
            <w:r w:rsidRPr="00C65821">
              <w:t>Required Payments</w:t>
            </w:r>
          </w:p>
        </w:tc>
        <w:tc>
          <w:tcPr>
            <w:tcW w:w="7578" w:type="dxa"/>
          </w:tcPr>
          <w:p w:rsidR="00BC0BFA" w:rsidRPr="00C65821" w:rsidRDefault="00132738" w:rsidP="00132738">
            <w:r>
              <w:t>Typically accrued interest is paid monthly during the term of the loan with principal due at maturity. Quarterly i</w:t>
            </w:r>
            <w:r w:rsidR="00BC0BFA" w:rsidRPr="00C65821">
              <w:t>nterest</w:t>
            </w:r>
            <w:r>
              <w:t xml:space="preserve"> p</w:t>
            </w:r>
            <w:r w:rsidR="00BC0BFA">
              <w:t xml:space="preserve">ayments </w:t>
            </w:r>
            <w:r>
              <w:t>or a</w:t>
            </w:r>
            <w:r w:rsidR="00BC0BFA" w:rsidRPr="00C65821">
              <w:t>n interest reserve can be considered.</w:t>
            </w:r>
            <w:r w:rsidR="00BC0BFA">
              <w:t xml:space="preserve"> </w:t>
            </w:r>
            <w:r>
              <w:t>There is no principal early repayment penalty.</w:t>
            </w:r>
          </w:p>
        </w:tc>
      </w:tr>
      <w:tr w:rsidR="00BC0BFA" w:rsidRPr="00C65821" w:rsidTr="0098021B">
        <w:tc>
          <w:tcPr>
            <w:tcW w:w="2718" w:type="dxa"/>
          </w:tcPr>
          <w:p w:rsidR="00BC0BFA" w:rsidRPr="00C65821" w:rsidRDefault="00BC0BFA" w:rsidP="0098021B">
            <w:r>
              <w:t>Repayment Ability</w:t>
            </w:r>
          </w:p>
        </w:tc>
        <w:tc>
          <w:tcPr>
            <w:tcW w:w="7578" w:type="dxa"/>
          </w:tcPr>
          <w:p w:rsidR="00BC0BFA" w:rsidRPr="00C65821" w:rsidRDefault="00BC0BFA" w:rsidP="0098021B">
            <w:r>
              <w:t xml:space="preserve">Borrower must demonstrate ability to meet Required Payment in addition to all other existing debt payments.  </w:t>
            </w:r>
            <w:r w:rsidRPr="00C65821">
              <w:t xml:space="preserve"> An interest reserve or other revenues of the borrower may be used to satisfy this requirement.</w:t>
            </w:r>
          </w:p>
        </w:tc>
      </w:tr>
      <w:tr w:rsidR="00BC0BFA" w:rsidRPr="00C65821" w:rsidTr="0098021B">
        <w:tc>
          <w:tcPr>
            <w:tcW w:w="2718" w:type="dxa"/>
          </w:tcPr>
          <w:p w:rsidR="00BC0BFA" w:rsidRPr="00C65821" w:rsidRDefault="00BC0BFA" w:rsidP="0098021B">
            <w:r w:rsidRPr="00C65821">
              <w:t>Source(s) of Repayment</w:t>
            </w:r>
          </w:p>
        </w:tc>
        <w:tc>
          <w:tcPr>
            <w:tcW w:w="7578" w:type="dxa"/>
          </w:tcPr>
          <w:p w:rsidR="00BC0BFA" w:rsidRPr="00C65821" w:rsidRDefault="00BC0BFA" w:rsidP="0098021B">
            <w:r w:rsidRPr="00C65821">
              <w:t>Must be identified and may need to be committed</w:t>
            </w:r>
            <w:r>
              <w:t xml:space="preserve"> in writing</w:t>
            </w:r>
            <w:r w:rsidRPr="00C65821">
              <w:t>.</w:t>
            </w:r>
          </w:p>
        </w:tc>
      </w:tr>
    </w:tbl>
    <w:p w:rsidR="00EF2C6E" w:rsidRDefault="00EF2C6E" w:rsidP="00EF2C6E">
      <w:pPr>
        <w:pStyle w:val="EndnoteText"/>
      </w:pPr>
    </w:p>
    <w:p w:rsidR="00BC0BFA" w:rsidRPr="00F34F5F" w:rsidRDefault="00BC0BFA" w:rsidP="00F34F5F">
      <w:pPr>
        <w:pStyle w:val="EndnoteText"/>
        <w:rPr>
          <w:rFonts w:ascii="Calibri" w:hAnsi="Calibri"/>
          <w:b/>
          <w:color w:val="284667"/>
          <w:sz w:val="28"/>
          <w:szCs w:val="24"/>
        </w:rPr>
      </w:pPr>
      <w:r w:rsidRPr="00F34F5F">
        <w:rPr>
          <w:rFonts w:ascii="Calibri" w:hAnsi="Calibri"/>
          <w:b/>
          <w:color w:val="284667"/>
          <w:sz w:val="28"/>
          <w:szCs w:val="24"/>
        </w:rPr>
        <w:t>Waivers and Exceptions</w:t>
      </w:r>
    </w:p>
    <w:p w:rsidR="00BC0BFA" w:rsidRDefault="00BC0BFA" w:rsidP="00BC0BFA">
      <w:pPr>
        <w:pStyle w:val="EndnoteText"/>
        <w:rPr>
          <w:sz w:val="24"/>
          <w:szCs w:val="24"/>
        </w:rPr>
      </w:pPr>
    </w:p>
    <w:p w:rsidR="00BC0BFA" w:rsidRDefault="00BC0BFA" w:rsidP="00F34F5F">
      <w:r>
        <w:t xml:space="preserve">The Board may, at its sole discretion, approve a loan that does not conform with all of these underwriting guidelines if approving the loan will provide significant benefits to the local community or </w:t>
      </w:r>
      <w:r w:rsidR="00755381">
        <w:t>HTFVC</w:t>
      </w:r>
      <w:r>
        <w:t>.  Each loan request is evaluated on its own merits.  The Board has the authority to approve a loan with one or more waivers and/or exceptions to these guidelines.  The nature and extent of these waivers and/or exceptions may vary at the sole discretion of the Board.  The following are specific waivers and/or exceptions that the Board has indicated it will consider.</w:t>
      </w:r>
    </w:p>
    <w:p w:rsidR="00BC0BFA" w:rsidRPr="00F34F5F" w:rsidRDefault="00BC0BFA" w:rsidP="00BC0BFA">
      <w:pPr>
        <w:pStyle w:val="EndnoteText"/>
        <w:rPr>
          <w:rFonts w:ascii="Calibri" w:hAnsi="Calibri"/>
          <w:b/>
          <w:sz w:val="24"/>
          <w:szCs w:val="24"/>
        </w:rPr>
      </w:pPr>
      <w:r w:rsidRPr="00F34F5F">
        <w:rPr>
          <w:rFonts w:ascii="Calibri" w:hAnsi="Calibri"/>
          <w:b/>
          <w:sz w:val="24"/>
          <w:szCs w:val="24"/>
        </w:rPr>
        <w:t>Extremely Low Income (ELI) Developments</w:t>
      </w:r>
    </w:p>
    <w:p w:rsidR="00BC0BFA" w:rsidRDefault="00755381" w:rsidP="00F34F5F">
      <w:pPr>
        <w:pStyle w:val="EndnoteText"/>
        <w:spacing w:before="120"/>
        <w:rPr>
          <w:sz w:val="24"/>
          <w:szCs w:val="24"/>
        </w:rPr>
      </w:pPr>
      <w:r>
        <w:rPr>
          <w:sz w:val="24"/>
          <w:szCs w:val="24"/>
        </w:rPr>
        <w:t>HTFVC</w:t>
      </w:r>
      <w:r w:rsidR="00BC0BFA">
        <w:rPr>
          <w:sz w:val="24"/>
          <w:szCs w:val="24"/>
        </w:rPr>
        <w:t>’s contract for the Local Housing Trust Fund Grant Program (LHTF) requires that 30% of the funds in our LHTF Progra</w:t>
      </w:r>
      <w:r w:rsidR="007435AB">
        <w:rPr>
          <w:sz w:val="24"/>
          <w:szCs w:val="24"/>
        </w:rPr>
        <w:t>m</w:t>
      </w:r>
      <w:r w:rsidR="007435AB">
        <w:rPr>
          <w:rStyle w:val="FootnoteReference"/>
          <w:sz w:val="24"/>
          <w:szCs w:val="24"/>
        </w:rPr>
        <w:footnoteReference w:id="4"/>
      </w:r>
      <w:r w:rsidR="00BC0BFA" w:rsidRPr="0019678B">
        <w:rPr>
          <w:b/>
          <w:sz w:val="24"/>
          <w:szCs w:val="24"/>
        </w:rPr>
        <w:t xml:space="preserve"> </w:t>
      </w:r>
      <w:r w:rsidR="00BC0BFA">
        <w:rPr>
          <w:sz w:val="24"/>
          <w:szCs w:val="24"/>
        </w:rPr>
        <w:t>(the LHTF award plus the required matching funds) must be used to finance units for households with extremely low incomes (up to 30% of the area median income).  The Board will consider approving a limited number of loans, grants, or deferred loans for ELI developments at a lower interest rate in order to meet this contractual requirement.</w:t>
      </w:r>
    </w:p>
    <w:p w:rsidR="00BC0BFA" w:rsidRDefault="00BC0BFA" w:rsidP="00BC0BFA">
      <w:pPr>
        <w:pStyle w:val="EndnoteText"/>
        <w:rPr>
          <w:sz w:val="24"/>
          <w:szCs w:val="24"/>
        </w:rPr>
      </w:pPr>
    </w:p>
    <w:p w:rsidR="00BC0BFA" w:rsidRPr="00F34F5F" w:rsidRDefault="00BC0BFA" w:rsidP="00BC0BFA">
      <w:pPr>
        <w:pStyle w:val="EndnoteText"/>
        <w:rPr>
          <w:rFonts w:ascii="Calibri" w:hAnsi="Calibri"/>
          <w:b/>
          <w:sz w:val="24"/>
          <w:szCs w:val="24"/>
        </w:rPr>
      </w:pPr>
      <w:r w:rsidRPr="00F34F5F">
        <w:rPr>
          <w:rFonts w:ascii="Calibri" w:hAnsi="Calibri"/>
          <w:b/>
          <w:sz w:val="24"/>
          <w:szCs w:val="24"/>
        </w:rPr>
        <w:t>Predevelopment Loans</w:t>
      </w:r>
    </w:p>
    <w:p w:rsidR="00BC0BFA" w:rsidRDefault="00755381" w:rsidP="00F34F5F">
      <w:pPr>
        <w:pStyle w:val="EndnoteText"/>
        <w:spacing w:before="120"/>
        <w:rPr>
          <w:sz w:val="24"/>
          <w:szCs w:val="24"/>
        </w:rPr>
      </w:pPr>
      <w:r>
        <w:rPr>
          <w:sz w:val="24"/>
          <w:szCs w:val="24"/>
        </w:rPr>
        <w:t>HTFVC</w:t>
      </w:r>
      <w:r w:rsidR="00BC0BFA">
        <w:rPr>
          <w:sz w:val="24"/>
          <w:szCs w:val="24"/>
        </w:rPr>
        <w:t xml:space="preserve"> offers a Predevelopment Loan product to encourage and assist developers in moving a potential development forward.  Predevelopment Fees </w:t>
      </w:r>
      <w:r w:rsidR="002B0579">
        <w:rPr>
          <w:sz w:val="24"/>
          <w:szCs w:val="24"/>
        </w:rPr>
        <w:t xml:space="preserve">and/or pledged security </w:t>
      </w:r>
      <w:r w:rsidR="00BC0BFA">
        <w:rPr>
          <w:sz w:val="24"/>
          <w:szCs w:val="24"/>
        </w:rPr>
        <w:t>may be reduced or waived on a case by case basis.</w:t>
      </w:r>
      <w:r w:rsidR="00BC0BFA">
        <w:rPr>
          <w:sz w:val="24"/>
          <w:szCs w:val="24"/>
        </w:rPr>
        <w:br/>
      </w:r>
    </w:p>
    <w:p w:rsidR="00BD2AE9" w:rsidRDefault="00BD2AE9" w:rsidP="00F34F5F">
      <w:pPr>
        <w:pStyle w:val="EndnoteText"/>
        <w:spacing w:before="120"/>
        <w:rPr>
          <w:sz w:val="24"/>
          <w:szCs w:val="24"/>
        </w:rPr>
      </w:pPr>
      <w:bookmarkStart w:id="1" w:name="_GoBack"/>
      <w:bookmarkEnd w:id="1"/>
    </w:p>
    <w:p w:rsidR="00BC0BFA" w:rsidRPr="00F34F5F" w:rsidRDefault="00BC0BFA" w:rsidP="00F34F5F">
      <w:pPr>
        <w:pStyle w:val="EndnoteText"/>
        <w:rPr>
          <w:rFonts w:ascii="Calibri" w:hAnsi="Calibri"/>
          <w:b/>
          <w:sz w:val="24"/>
          <w:szCs w:val="24"/>
        </w:rPr>
      </w:pPr>
      <w:r w:rsidRPr="00F34F5F">
        <w:rPr>
          <w:rFonts w:ascii="Calibri" w:hAnsi="Calibri"/>
          <w:b/>
          <w:color w:val="284667"/>
          <w:sz w:val="28"/>
          <w:szCs w:val="24"/>
        </w:rPr>
        <w:t xml:space="preserve">Fair Housing and Discrimination                                                                               </w:t>
      </w:r>
      <w:r w:rsidRPr="00F34F5F">
        <w:rPr>
          <w:rFonts w:ascii="Calibri" w:hAnsi="Calibri"/>
          <w:b/>
          <w:sz w:val="24"/>
          <w:szCs w:val="24"/>
        </w:rPr>
        <w:br/>
      </w:r>
    </w:p>
    <w:p w:rsidR="00BC0BFA" w:rsidRDefault="00755381" w:rsidP="00F34F5F">
      <w:pPr>
        <w:pStyle w:val="EndnoteText"/>
        <w:rPr>
          <w:sz w:val="24"/>
          <w:szCs w:val="24"/>
        </w:rPr>
      </w:pPr>
      <w:r>
        <w:rPr>
          <w:sz w:val="24"/>
          <w:szCs w:val="24"/>
        </w:rPr>
        <w:t>HTFVC</w:t>
      </w:r>
      <w:r w:rsidR="00BC0BFA">
        <w:rPr>
          <w:sz w:val="24"/>
          <w:szCs w:val="24"/>
        </w:rPr>
        <w:t xml:space="preserve"> is an equal opportunity lender.  We affirmatively support State and Federal fair housing and anti-discrimination laws and requires our borrowers to do the same.  </w:t>
      </w:r>
    </w:p>
    <w:p w:rsidR="00BC0BFA" w:rsidRDefault="00BC0BFA" w:rsidP="00BC0BFA">
      <w:pPr>
        <w:pStyle w:val="EndnoteText"/>
        <w:ind w:left="720"/>
        <w:rPr>
          <w:sz w:val="24"/>
          <w:szCs w:val="24"/>
        </w:rPr>
      </w:pPr>
    </w:p>
    <w:p w:rsidR="00BC0BFA" w:rsidRDefault="00755381" w:rsidP="00F34F5F">
      <w:pPr>
        <w:pStyle w:val="EndnoteText"/>
        <w:rPr>
          <w:sz w:val="24"/>
          <w:szCs w:val="24"/>
        </w:rPr>
      </w:pPr>
      <w:r>
        <w:rPr>
          <w:sz w:val="24"/>
          <w:szCs w:val="24"/>
        </w:rPr>
        <w:t>HTFVC</w:t>
      </w:r>
      <w:r w:rsidR="00BC0BFA">
        <w:rPr>
          <w:sz w:val="24"/>
          <w:szCs w:val="24"/>
        </w:rPr>
        <w:t xml:space="preserve"> offers financing for housing that is targeted for special needs populations or for specific income groups (veterans, homeless individuals and families, youth transitioning from foster care, and farm workers).  While this housing is not available for the general public, the owners and sponsors of these developments may not unlawfully discriminate based upon race, ethnicity, religion, and source of income or other factors.</w:t>
      </w:r>
    </w:p>
    <w:p w:rsidR="00BC0BFA" w:rsidRDefault="00BC0BFA" w:rsidP="00BC0BFA">
      <w:pPr>
        <w:pStyle w:val="EndnoteText"/>
        <w:rPr>
          <w:sz w:val="24"/>
          <w:szCs w:val="24"/>
        </w:rPr>
      </w:pPr>
    </w:p>
    <w:p w:rsidR="00BE7B5A" w:rsidRDefault="00BE7B5A" w:rsidP="00BC0BFA">
      <w:pPr>
        <w:pStyle w:val="EndnoteText"/>
        <w:rPr>
          <w:sz w:val="24"/>
          <w:szCs w:val="24"/>
        </w:rPr>
      </w:pPr>
    </w:p>
    <w:p w:rsidR="00BC0BFA" w:rsidRPr="00F34F5F" w:rsidRDefault="00BC0BFA" w:rsidP="00F34F5F">
      <w:pPr>
        <w:pStyle w:val="EndnoteText"/>
        <w:rPr>
          <w:rFonts w:ascii="Calibri" w:hAnsi="Calibri"/>
          <w:b/>
          <w:color w:val="284667"/>
          <w:sz w:val="28"/>
          <w:szCs w:val="24"/>
        </w:rPr>
      </w:pPr>
      <w:r w:rsidRPr="00F34F5F">
        <w:rPr>
          <w:rFonts w:ascii="Calibri" w:hAnsi="Calibri"/>
          <w:b/>
          <w:color w:val="284667"/>
          <w:sz w:val="28"/>
          <w:szCs w:val="24"/>
        </w:rPr>
        <w:t>Borrower’s Capacity and Financial Strength</w:t>
      </w:r>
    </w:p>
    <w:p w:rsidR="00BC0BFA" w:rsidRDefault="00BC0BFA" w:rsidP="00BC0BFA">
      <w:pPr>
        <w:pStyle w:val="EndnoteText"/>
        <w:rPr>
          <w:sz w:val="24"/>
          <w:szCs w:val="24"/>
        </w:rPr>
      </w:pPr>
    </w:p>
    <w:p w:rsidR="00BC0BFA" w:rsidRDefault="00BC0BFA" w:rsidP="00F34F5F">
      <w:pPr>
        <w:pStyle w:val="EndnoteText"/>
        <w:rPr>
          <w:sz w:val="24"/>
          <w:szCs w:val="24"/>
        </w:rPr>
      </w:pPr>
      <w:r>
        <w:rPr>
          <w:sz w:val="24"/>
          <w:szCs w:val="24"/>
        </w:rPr>
        <w:t>The borrower’s capacity and financial strength are very important considerations when evaluating whether an affordable housing development will be successful.  Ideally, the borrower should have experience successfully completing housing developments that are similar in type and scale.  When borrowers do not have direct experience, the experience of their advisors and other team members will be considered.  We may also consider training and related experience when evaluating the borrower’s capability.</w:t>
      </w:r>
    </w:p>
    <w:p w:rsidR="00F34F5F" w:rsidRDefault="00F34F5F" w:rsidP="00F34F5F">
      <w:pPr>
        <w:pStyle w:val="EndnoteText"/>
        <w:rPr>
          <w:sz w:val="24"/>
          <w:szCs w:val="24"/>
        </w:rPr>
      </w:pPr>
    </w:p>
    <w:p w:rsidR="00BC0BFA" w:rsidRDefault="00755381" w:rsidP="00F34F5F">
      <w:pPr>
        <w:pStyle w:val="EndnoteText"/>
        <w:rPr>
          <w:sz w:val="24"/>
          <w:szCs w:val="24"/>
        </w:rPr>
      </w:pPr>
      <w:r>
        <w:rPr>
          <w:sz w:val="24"/>
          <w:szCs w:val="24"/>
        </w:rPr>
        <w:lastRenderedPageBreak/>
        <w:t>HTFVC</w:t>
      </w:r>
      <w:r w:rsidR="00BC0BFA">
        <w:rPr>
          <w:sz w:val="24"/>
          <w:szCs w:val="24"/>
        </w:rPr>
        <w:t xml:space="preserve"> reviews the borrower’s financial statements and/or income tax filings for at least the past two years plus the current year to date to evaluate whether there is sufficient income, equity and cash flow to undertake, carry out and successfully complete the proposed development.  Co-borrowers and guarantors will be considered in this evaluation.</w:t>
      </w:r>
    </w:p>
    <w:p w:rsidR="00BC0BFA" w:rsidRDefault="00BC0BFA" w:rsidP="00BC0BFA">
      <w:pPr>
        <w:pStyle w:val="EndnoteText"/>
        <w:rPr>
          <w:sz w:val="24"/>
          <w:szCs w:val="24"/>
        </w:rPr>
      </w:pPr>
    </w:p>
    <w:p w:rsidR="00EE3091" w:rsidRDefault="00EE3091" w:rsidP="00BC0BFA">
      <w:pPr>
        <w:pStyle w:val="EndnoteText"/>
        <w:rPr>
          <w:sz w:val="24"/>
          <w:szCs w:val="24"/>
        </w:rPr>
      </w:pPr>
    </w:p>
    <w:p w:rsidR="00BC0BFA" w:rsidRPr="00F34F5F" w:rsidRDefault="00BC0BFA" w:rsidP="00F34F5F">
      <w:pPr>
        <w:pStyle w:val="EndnoteText"/>
        <w:rPr>
          <w:rFonts w:ascii="Calibri" w:hAnsi="Calibri"/>
          <w:b/>
          <w:color w:val="284667"/>
          <w:sz w:val="28"/>
          <w:szCs w:val="24"/>
        </w:rPr>
      </w:pPr>
      <w:r w:rsidRPr="00F34F5F">
        <w:rPr>
          <w:rFonts w:ascii="Calibri" w:hAnsi="Calibri"/>
          <w:b/>
          <w:color w:val="284667"/>
          <w:sz w:val="28"/>
          <w:szCs w:val="24"/>
        </w:rPr>
        <w:t>Development Evaluation</w:t>
      </w:r>
    </w:p>
    <w:p w:rsidR="00BC0BFA" w:rsidRDefault="00BC0BFA" w:rsidP="00BC0BFA">
      <w:pPr>
        <w:pStyle w:val="EndnoteText"/>
        <w:rPr>
          <w:sz w:val="24"/>
          <w:szCs w:val="24"/>
        </w:rPr>
      </w:pPr>
    </w:p>
    <w:p w:rsidR="00BC0BFA" w:rsidRDefault="00BC0BFA" w:rsidP="00F34F5F">
      <w:pPr>
        <w:pStyle w:val="EndnoteText"/>
        <w:rPr>
          <w:sz w:val="24"/>
          <w:szCs w:val="24"/>
        </w:rPr>
      </w:pPr>
      <w:r>
        <w:rPr>
          <w:sz w:val="24"/>
          <w:szCs w:val="24"/>
        </w:rPr>
        <w:t>We review and evaluate the development from a number of perspectives, including the following:</w:t>
      </w:r>
      <w:r>
        <w:rPr>
          <w:sz w:val="24"/>
          <w:szCs w:val="24"/>
        </w:rPr>
        <w:br/>
      </w:r>
    </w:p>
    <w:p w:rsidR="00BC0BFA" w:rsidRPr="00F34F5F" w:rsidRDefault="00BC0BFA" w:rsidP="00F34F5F">
      <w:pPr>
        <w:pStyle w:val="EndnoteText"/>
        <w:spacing w:after="120"/>
        <w:rPr>
          <w:rFonts w:ascii="Calibri" w:hAnsi="Calibri"/>
          <w:b/>
          <w:sz w:val="24"/>
          <w:szCs w:val="24"/>
        </w:rPr>
      </w:pPr>
      <w:r w:rsidRPr="00F34F5F">
        <w:rPr>
          <w:rFonts w:ascii="Calibri" w:hAnsi="Calibri"/>
          <w:b/>
          <w:sz w:val="24"/>
          <w:szCs w:val="24"/>
        </w:rPr>
        <w:t>Environmental Assessment</w:t>
      </w:r>
    </w:p>
    <w:p w:rsidR="00BC0BFA" w:rsidRDefault="00BC0BFA" w:rsidP="00F34F5F">
      <w:pPr>
        <w:pStyle w:val="EndnoteText"/>
        <w:rPr>
          <w:sz w:val="24"/>
          <w:szCs w:val="24"/>
        </w:rPr>
      </w:pPr>
      <w:r>
        <w:rPr>
          <w:sz w:val="24"/>
          <w:szCs w:val="24"/>
        </w:rPr>
        <w:t>Once a development is eligible for financing we may request an environmental assessment for the property that will be used as collateral for our loan. We require a Phase 1 environmental assessment for all our loan types.  Other environmental reports may be required.</w:t>
      </w:r>
    </w:p>
    <w:p w:rsidR="007435AB" w:rsidRDefault="007435AB" w:rsidP="00BC0BFA">
      <w:pPr>
        <w:pStyle w:val="EndnoteText"/>
        <w:ind w:left="1440"/>
        <w:rPr>
          <w:sz w:val="24"/>
          <w:szCs w:val="24"/>
        </w:rPr>
      </w:pPr>
    </w:p>
    <w:p w:rsidR="007435AB" w:rsidRPr="00F34F5F" w:rsidRDefault="007435AB" w:rsidP="00F34F5F">
      <w:pPr>
        <w:pStyle w:val="EndnoteText"/>
        <w:spacing w:after="120"/>
        <w:rPr>
          <w:rFonts w:ascii="Calibri" w:hAnsi="Calibri"/>
          <w:b/>
          <w:sz w:val="24"/>
          <w:szCs w:val="24"/>
        </w:rPr>
      </w:pPr>
      <w:r w:rsidRPr="00F34F5F">
        <w:rPr>
          <w:rFonts w:ascii="Calibri" w:hAnsi="Calibri"/>
          <w:b/>
          <w:sz w:val="24"/>
          <w:szCs w:val="24"/>
        </w:rPr>
        <w:t>Development Approvals</w:t>
      </w:r>
    </w:p>
    <w:p w:rsidR="007435AB" w:rsidRDefault="007435AB" w:rsidP="00F34F5F">
      <w:pPr>
        <w:pStyle w:val="EndnoteText"/>
        <w:rPr>
          <w:sz w:val="24"/>
          <w:szCs w:val="24"/>
        </w:rPr>
      </w:pPr>
      <w:r>
        <w:rPr>
          <w:sz w:val="24"/>
          <w:szCs w:val="24"/>
        </w:rPr>
        <w:t>We will review the development approvals that are necessary to complete the development and the development’s current status in the development review and approval process to identify and evaluate risks that the development may not be approved or that the approvals will be delayed significantly.  A request for a Predevelopment Loan requires a submittal of a development confirmation letter/form from the governing jurisdiction that states the development conforms to the General Plan land use designation.  Applicant shall provide a clear timeline or schedule that lists the public reviews and approvals that are needed to complete the development, the development’s current status and the dates that reviews and approvals have been and will be received.</w:t>
      </w:r>
    </w:p>
    <w:p w:rsidR="007435AB" w:rsidRDefault="007435AB" w:rsidP="007435AB">
      <w:pPr>
        <w:pStyle w:val="EndnoteText"/>
        <w:rPr>
          <w:sz w:val="24"/>
          <w:szCs w:val="24"/>
        </w:rPr>
      </w:pPr>
    </w:p>
    <w:p w:rsidR="007435AB" w:rsidRPr="00F34F5F" w:rsidRDefault="007435AB" w:rsidP="00F34F5F">
      <w:pPr>
        <w:pStyle w:val="EndnoteText"/>
        <w:spacing w:after="120"/>
        <w:rPr>
          <w:rFonts w:ascii="Calibri" w:hAnsi="Calibri"/>
          <w:b/>
          <w:sz w:val="24"/>
          <w:szCs w:val="24"/>
        </w:rPr>
      </w:pPr>
      <w:r w:rsidRPr="00F34F5F">
        <w:rPr>
          <w:rFonts w:ascii="Calibri" w:hAnsi="Calibri"/>
          <w:b/>
          <w:sz w:val="24"/>
          <w:szCs w:val="24"/>
        </w:rPr>
        <w:t>Development Budgets and Financing</w:t>
      </w:r>
    </w:p>
    <w:p w:rsidR="007435AB" w:rsidRDefault="007435AB" w:rsidP="00F34F5F">
      <w:pPr>
        <w:pStyle w:val="EndnoteText"/>
        <w:rPr>
          <w:sz w:val="24"/>
          <w:szCs w:val="24"/>
        </w:rPr>
      </w:pPr>
      <w:r>
        <w:rPr>
          <w:sz w:val="24"/>
          <w:szCs w:val="24"/>
        </w:rPr>
        <w:t>We will review and analyze the development’s pro-forma budgets.  We will also review and confirm the financing commitments that the development has received. We require that the development have commitments for the key sources of permanent financing for all but predevelopment loan applications.</w:t>
      </w:r>
    </w:p>
    <w:p w:rsidR="007435AB" w:rsidRDefault="007435AB" w:rsidP="007435AB">
      <w:pPr>
        <w:pStyle w:val="EndnoteText"/>
        <w:rPr>
          <w:sz w:val="24"/>
          <w:szCs w:val="24"/>
        </w:rPr>
      </w:pPr>
    </w:p>
    <w:p w:rsidR="00EE3091" w:rsidRDefault="00EE3091" w:rsidP="007435AB">
      <w:pPr>
        <w:pStyle w:val="EndnoteText"/>
        <w:rPr>
          <w:sz w:val="24"/>
          <w:szCs w:val="24"/>
        </w:rPr>
      </w:pPr>
    </w:p>
    <w:p w:rsidR="007435AB" w:rsidRPr="00F34F5F" w:rsidRDefault="007435AB" w:rsidP="00F34F5F">
      <w:pPr>
        <w:pStyle w:val="EndnoteText"/>
        <w:rPr>
          <w:rFonts w:ascii="Calibri" w:hAnsi="Calibri"/>
          <w:b/>
          <w:sz w:val="24"/>
          <w:szCs w:val="24"/>
        </w:rPr>
      </w:pPr>
      <w:r w:rsidRPr="00F34F5F">
        <w:rPr>
          <w:rFonts w:ascii="Calibri" w:hAnsi="Calibri"/>
          <w:b/>
          <w:color w:val="284667"/>
          <w:sz w:val="28"/>
          <w:szCs w:val="24"/>
        </w:rPr>
        <w:t>Sources of Repayment</w:t>
      </w:r>
      <w:r w:rsidRPr="00F34F5F">
        <w:rPr>
          <w:rFonts w:ascii="Calibri" w:hAnsi="Calibri"/>
          <w:b/>
          <w:sz w:val="24"/>
          <w:szCs w:val="24"/>
        </w:rPr>
        <w:br/>
      </w:r>
    </w:p>
    <w:p w:rsidR="007435AB" w:rsidRDefault="007435AB" w:rsidP="007435AB">
      <w:pPr>
        <w:pStyle w:val="EndnoteText"/>
        <w:rPr>
          <w:sz w:val="24"/>
          <w:szCs w:val="24"/>
        </w:rPr>
      </w:pPr>
      <w:r>
        <w:rPr>
          <w:sz w:val="24"/>
          <w:szCs w:val="24"/>
        </w:rPr>
        <w:t>As noted above, we need to ensure that the developments we finance will be able to repay our loans on schedule.  During the term of our loan, we will verify that the development or the borrower has sufficient income and cash flow to repay our loan.  The borrower may be required to provide updated financial</w:t>
      </w:r>
      <w:r w:rsidR="002B0579">
        <w:rPr>
          <w:sz w:val="24"/>
          <w:szCs w:val="24"/>
        </w:rPr>
        <w:t xml:space="preserve"> information</w:t>
      </w:r>
      <w:r>
        <w:rPr>
          <w:sz w:val="24"/>
          <w:szCs w:val="24"/>
        </w:rPr>
        <w:t xml:space="preserve"> as requested.  We will consider financing an interest reserve.</w:t>
      </w:r>
    </w:p>
    <w:p w:rsidR="00EE3091" w:rsidRDefault="00EE3091" w:rsidP="007435AB">
      <w:pPr>
        <w:pStyle w:val="EndnoteText"/>
        <w:rPr>
          <w:sz w:val="24"/>
          <w:szCs w:val="24"/>
        </w:rPr>
      </w:pPr>
    </w:p>
    <w:p w:rsidR="00EE3091" w:rsidRDefault="00EE3091" w:rsidP="007435AB">
      <w:pPr>
        <w:pStyle w:val="EndnoteText"/>
        <w:rPr>
          <w:sz w:val="24"/>
          <w:szCs w:val="24"/>
        </w:rPr>
      </w:pPr>
    </w:p>
    <w:p w:rsidR="007435AB" w:rsidRPr="00F34F5F" w:rsidRDefault="007435AB" w:rsidP="007435AB">
      <w:pPr>
        <w:pStyle w:val="EndnoteText"/>
        <w:rPr>
          <w:rFonts w:ascii="Calibri" w:hAnsi="Calibri"/>
          <w:b/>
          <w:color w:val="284667"/>
          <w:sz w:val="28"/>
          <w:szCs w:val="24"/>
        </w:rPr>
      </w:pPr>
      <w:r w:rsidRPr="00F34F5F">
        <w:rPr>
          <w:rFonts w:ascii="Calibri" w:hAnsi="Calibri"/>
          <w:b/>
          <w:color w:val="284667"/>
          <w:sz w:val="28"/>
          <w:szCs w:val="24"/>
        </w:rPr>
        <w:t>Loan Collateral</w:t>
      </w:r>
    </w:p>
    <w:p w:rsidR="007435AB" w:rsidRDefault="007435AB" w:rsidP="007435AB">
      <w:pPr>
        <w:pStyle w:val="EndnoteText"/>
        <w:rPr>
          <w:sz w:val="24"/>
          <w:szCs w:val="24"/>
        </w:rPr>
      </w:pPr>
    </w:p>
    <w:p w:rsidR="007435AB" w:rsidRDefault="007435AB" w:rsidP="007435AB">
      <w:pPr>
        <w:pStyle w:val="EndnoteText"/>
        <w:rPr>
          <w:sz w:val="24"/>
          <w:szCs w:val="24"/>
        </w:rPr>
      </w:pPr>
      <w:r>
        <w:rPr>
          <w:sz w:val="24"/>
          <w:szCs w:val="24"/>
        </w:rPr>
        <w:t>Properties that serve as collateral for our loans shall have sufficient value to support the loan.  We may subordinate our liens to other financing under acceptable terms and conditions.</w:t>
      </w:r>
    </w:p>
    <w:p w:rsidR="00EE3091" w:rsidRDefault="00EE3091" w:rsidP="007435AB">
      <w:pPr>
        <w:pStyle w:val="EndnoteText"/>
        <w:rPr>
          <w:sz w:val="24"/>
          <w:szCs w:val="24"/>
        </w:rPr>
      </w:pPr>
    </w:p>
    <w:p w:rsidR="00EE3091" w:rsidRDefault="00EE3091" w:rsidP="007435AB">
      <w:pPr>
        <w:pStyle w:val="EndnoteText"/>
        <w:rPr>
          <w:sz w:val="24"/>
          <w:szCs w:val="24"/>
        </w:rPr>
      </w:pPr>
    </w:p>
    <w:p w:rsidR="007435AB" w:rsidRPr="00EE3091" w:rsidRDefault="007435AB" w:rsidP="007435AB">
      <w:pPr>
        <w:pStyle w:val="EndnoteText"/>
        <w:rPr>
          <w:rFonts w:ascii="Calibri" w:hAnsi="Calibri"/>
          <w:b/>
          <w:color w:val="284667"/>
          <w:sz w:val="28"/>
          <w:szCs w:val="24"/>
        </w:rPr>
      </w:pPr>
      <w:r w:rsidRPr="00EE3091">
        <w:rPr>
          <w:rFonts w:ascii="Calibri" w:hAnsi="Calibri"/>
          <w:b/>
          <w:color w:val="284667"/>
          <w:sz w:val="28"/>
          <w:szCs w:val="24"/>
        </w:rPr>
        <w:t>Appraisals or Indicators of Value</w:t>
      </w:r>
    </w:p>
    <w:p w:rsidR="007435AB" w:rsidRDefault="007435AB" w:rsidP="007435AB">
      <w:pPr>
        <w:pStyle w:val="EndnoteText"/>
        <w:rPr>
          <w:sz w:val="24"/>
          <w:szCs w:val="24"/>
        </w:rPr>
      </w:pPr>
    </w:p>
    <w:p w:rsidR="007435AB" w:rsidRDefault="007435AB" w:rsidP="00EE3091">
      <w:pPr>
        <w:pStyle w:val="EndnoteText"/>
        <w:rPr>
          <w:sz w:val="24"/>
          <w:szCs w:val="24"/>
        </w:rPr>
      </w:pPr>
      <w:r>
        <w:rPr>
          <w:sz w:val="24"/>
          <w:szCs w:val="24"/>
        </w:rPr>
        <w:t xml:space="preserve">Borrower shall provide a current existing appraisal. </w:t>
      </w:r>
      <w:r w:rsidR="00755381">
        <w:rPr>
          <w:sz w:val="24"/>
          <w:szCs w:val="24"/>
        </w:rPr>
        <w:t>HTFVC</w:t>
      </w:r>
      <w:r>
        <w:rPr>
          <w:sz w:val="24"/>
          <w:szCs w:val="24"/>
        </w:rPr>
        <w:t xml:space="preserve"> reserves the right to require an updated appraisal or other indication of value as deemed necessary. </w:t>
      </w:r>
    </w:p>
    <w:p w:rsidR="00EE3091" w:rsidRDefault="00EE3091" w:rsidP="007435AB">
      <w:pPr>
        <w:pStyle w:val="EndnoteText"/>
        <w:rPr>
          <w:sz w:val="24"/>
          <w:szCs w:val="24"/>
        </w:rPr>
      </w:pPr>
    </w:p>
    <w:p w:rsidR="007435AB" w:rsidRDefault="007435AB" w:rsidP="007435AB">
      <w:pPr>
        <w:pStyle w:val="EndnoteText"/>
        <w:rPr>
          <w:sz w:val="24"/>
          <w:szCs w:val="24"/>
        </w:rPr>
      </w:pPr>
      <w:r>
        <w:rPr>
          <w:sz w:val="24"/>
          <w:szCs w:val="24"/>
        </w:rPr>
        <w:tab/>
      </w:r>
    </w:p>
    <w:p w:rsidR="007435AB" w:rsidRPr="00EE3091" w:rsidRDefault="007435AB" w:rsidP="00EE3091">
      <w:pPr>
        <w:pStyle w:val="EndnoteText"/>
        <w:rPr>
          <w:rFonts w:ascii="Calibri" w:hAnsi="Calibri"/>
          <w:b/>
          <w:color w:val="284667"/>
          <w:sz w:val="28"/>
          <w:szCs w:val="24"/>
        </w:rPr>
      </w:pPr>
      <w:r w:rsidRPr="00EE3091">
        <w:rPr>
          <w:rFonts w:ascii="Calibri" w:hAnsi="Calibri"/>
          <w:b/>
          <w:color w:val="284667"/>
          <w:sz w:val="28"/>
          <w:szCs w:val="24"/>
        </w:rPr>
        <w:t>Other</w:t>
      </w:r>
    </w:p>
    <w:p w:rsidR="007435AB" w:rsidRDefault="007435AB" w:rsidP="007435AB">
      <w:pPr>
        <w:pStyle w:val="EndnoteText"/>
        <w:rPr>
          <w:sz w:val="24"/>
          <w:szCs w:val="24"/>
        </w:rPr>
      </w:pPr>
    </w:p>
    <w:p w:rsidR="007435AB" w:rsidRDefault="00755381" w:rsidP="00EE3091">
      <w:pPr>
        <w:pStyle w:val="EndnoteText"/>
        <w:rPr>
          <w:sz w:val="24"/>
          <w:szCs w:val="24"/>
        </w:rPr>
      </w:pPr>
      <w:r>
        <w:rPr>
          <w:sz w:val="24"/>
          <w:szCs w:val="24"/>
        </w:rPr>
        <w:t>HTFVC</w:t>
      </w:r>
      <w:r w:rsidR="007435AB">
        <w:rPr>
          <w:sz w:val="24"/>
          <w:szCs w:val="24"/>
        </w:rPr>
        <w:t xml:space="preserve"> reserves the right to review and consider other matters as part of the review, underwriting and approval of loan applications.</w:t>
      </w:r>
    </w:p>
    <w:p w:rsidR="007435AB" w:rsidRDefault="007435AB" w:rsidP="007435AB">
      <w:pPr>
        <w:pStyle w:val="EndnoteText"/>
        <w:ind w:left="720"/>
        <w:rPr>
          <w:sz w:val="24"/>
          <w:szCs w:val="24"/>
        </w:rPr>
      </w:pPr>
    </w:p>
    <w:p w:rsidR="007435AB" w:rsidRDefault="007435AB" w:rsidP="007435AB">
      <w:pPr>
        <w:pStyle w:val="EndnoteText"/>
        <w:ind w:left="720"/>
        <w:rPr>
          <w:sz w:val="24"/>
          <w:szCs w:val="24"/>
        </w:rPr>
      </w:pPr>
    </w:p>
    <w:p w:rsidR="007435AB" w:rsidRDefault="007435AB" w:rsidP="007435AB">
      <w:pPr>
        <w:pStyle w:val="EndnoteText"/>
        <w:ind w:left="720"/>
        <w:rPr>
          <w:sz w:val="24"/>
          <w:szCs w:val="24"/>
        </w:rPr>
      </w:pPr>
    </w:p>
    <w:p w:rsidR="007435AB" w:rsidRDefault="007435AB" w:rsidP="007435AB">
      <w:pPr>
        <w:pStyle w:val="EndnoteText"/>
        <w:rPr>
          <w:sz w:val="24"/>
          <w:szCs w:val="24"/>
        </w:rPr>
      </w:pPr>
    </w:p>
    <w:p w:rsidR="007435AB" w:rsidRDefault="007435AB" w:rsidP="007435AB">
      <w:pPr>
        <w:pStyle w:val="EndnoteText"/>
        <w:jc w:val="center"/>
        <w:rPr>
          <w:sz w:val="24"/>
          <w:szCs w:val="24"/>
        </w:rPr>
      </w:pPr>
      <w:r>
        <w:rPr>
          <w:sz w:val="24"/>
          <w:szCs w:val="24"/>
        </w:rPr>
        <w:t>For additional information, please contact the Housing Trust Fund at:</w:t>
      </w:r>
    </w:p>
    <w:p w:rsidR="007435AB" w:rsidRDefault="007435AB" w:rsidP="007435AB">
      <w:pPr>
        <w:pStyle w:val="EndnoteText"/>
        <w:jc w:val="center"/>
        <w:rPr>
          <w:sz w:val="24"/>
          <w:szCs w:val="24"/>
        </w:rPr>
      </w:pPr>
    </w:p>
    <w:p w:rsidR="007435AB" w:rsidRPr="0086036B" w:rsidRDefault="007435AB" w:rsidP="007435AB">
      <w:pPr>
        <w:pStyle w:val="EndnoteText"/>
        <w:jc w:val="center"/>
        <w:rPr>
          <w:sz w:val="24"/>
          <w:szCs w:val="24"/>
        </w:rPr>
      </w:pPr>
      <w:r>
        <w:rPr>
          <w:sz w:val="24"/>
          <w:szCs w:val="24"/>
        </w:rPr>
        <w:t>Linda Braunschweiger, Chief Executive Officer</w:t>
      </w:r>
      <w:r>
        <w:rPr>
          <w:sz w:val="24"/>
          <w:szCs w:val="24"/>
        </w:rPr>
        <w:br/>
      </w:r>
      <w:r w:rsidR="00755381">
        <w:rPr>
          <w:sz w:val="24"/>
          <w:szCs w:val="24"/>
        </w:rPr>
        <w:t>Housing Trust Fund Ventura County</w:t>
      </w:r>
      <w:r w:rsidR="002B0579">
        <w:rPr>
          <w:sz w:val="24"/>
          <w:szCs w:val="24"/>
        </w:rPr>
        <w:br/>
        <w:t>805-407-2455</w:t>
      </w:r>
      <w:r w:rsidR="002B0579">
        <w:rPr>
          <w:sz w:val="24"/>
          <w:szCs w:val="24"/>
        </w:rPr>
        <w:br/>
        <w:t>Linda@</w:t>
      </w:r>
      <w:r>
        <w:rPr>
          <w:sz w:val="24"/>
          <w:szCs w:val="24"/>
        </w:rPr>
        <w:t>HousingTrustFund</w:t>
      </w:r>
      <w:r w:rsidR="002B0579">
        <w:rPr>
          <w:sz w:val="24"/>
          <w:szCs w:val="24"/>
        </w:rPr>
        <w:t>VC</w:t>
      </w:r>
      <w:r>
        <w:rPr>
          <w:sz w:val="24"/>
          <w:szCs w:val="24"/>
        </w:rPr>
        <w:t>.org</w:t>
      </w:r>
    </w:p>
    <w:p w:rsidR="007435AB" w:rsidRDefault="007435AB" w:rsidP="00BC0BFA">
      <w:pPr>
        <w:pStyle w:val="EndnoteText"/>
        <w:ind w:left="1440"/>
        <w:rPr>
          <w:sz w:val="24"/>
          <w:szCs w:val="24"/>
        </w:rPr>
      </w:pPr>
    </w:p>
    <w:p w:rsidR="00BC0BFA" w:rsidRDefault="00BC0BFA" w:rsidP="00BC0BFA">
      <w:pPr>
        <w:ind w:left="720"/>
      </w:pPr>
    </w:p>
    <w:p w:rsidR="00EF2C6E" w:rsidRDefault="00EF2C6E" w:rsidP="00EF2C6E">
      <w:pPr>
        <w:pStyle w:val="EndnoteText"/>
      </w:pPr>
    </w:p>
    <w:p w:rsidR="00B13946" w:rsidRDefault="00B13946" w:rsidP="00EF2C6E">
      <w:pPr>
        <w:pStyle w:val="EndnoteText"/>
      </w:pPr>
    </w:p>
    <w:p w:rsidR="00EF2C6E" w:rsidRPr="00C65821" w:rsidRDefault="00EF2C6E" w:rsidP="00EF2C6E">
      <w:pPr>
        <w:pStyle w:val="EndnoteText"/>
      </w:pPr>
    </w:p>
    <w:p w:rsidR="00456C47" w:rsidRPr="00C65821" w:rsidRDefault="00456C47" w:rsidP="00494EED"/>
    <w:sectPr w:rsidR="00456C47" w:rsidRPr="00C65821" w:rsidSect="007435AB">
      <w:headerReference w:type="default" r:id="rId9"/>
      <w:footerReference w:type="default" r:id="rId10"/>
      <w:footerReference w:type="first" r:id="rId11"/>
      <w:pgSz w:w="12240" w:h="15840" w:code="1"/>
      <w:pgMar w:top="720" w:right="1080" w:bottom="360" w:left="1080" w:header="360" w:footer="34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E87" w:rsidRDefault="00F83E87">
      <w:r>
        <w:separator/>
      </w:r>
    </w:p>
  </w:endnote>
  <w:endnote w:type="continuationSeparator" w:id="0">
    <w:p w:rsidR="00F83E87" w:rsidRDefault="00F8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73" w:rsidRDefault="002B0579" w:rsidP="005C1373">
    <w:pPr>
      <w:pStyle w:val="Footer"/>
    </w:pPr>
    <w:r w:rsidRPr="005C1373">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400800" cy="0"/>
              <wp:effectExtent l="9525" t="10160" r="9525" b="889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666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67163"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7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" strokecolor="#46669b"/>
          </w:pict>
        </mc:Fallback>
      </mc:AlternateContent>
    </w:r>
  </w:p>
  <w:p w:rsidR="005C1373" w:rsidRDefault="002B0579" w:rsidP="002B0579">
    <w:pPr>
      <w:pStyle w:val="Footer"/>
      <w:jc w:val="right"/>
      <w:rPr>
        <w:sz w:val="20"/>
        <w:szCs w:val="20"/>
      </w:rPr>
    </w:pPr>
    <w:r>
      <w:rPr>
        <w:sz w:val="20"/>
        <w:szCs w:val="20"/>
      </w:rPr>
      <w:t xml:space="preserve">Loan Review and Underwriting Guidelines - </w:t>
    </w:r>
    <w:r w:rsidR="005C1373" w:rsidRPr="005C1373">
      <w:rPr>
        <w:sz w:val="20"/>
        <w:szCs w:val="20"/>
      </w:rPr>
      <w:t xml:space="preserve">Page </w:t>
    </w:r>
    <w:r w:rsidR="007435AB">
      <w:rPr>
        <w:sz w:val="20"/>
        <w:szCs w:val="20"/>
      </w:rPr>
      <w:fldChar w:fldCharType="begin"/>
    </w:r>
    <w:r w:rsidR="007435AB">
      <w:rPr>
        <w:sz w:val="20"/>
        <w:szCs w:val="20"/>
      </w:rPr>
      <w:instrText xml:space="preserve"> PAGE  \* Arabic  \* MERGEFORMAT </w:instrText>
    </w:r>
    <w:r w:rsidR="007435AB">
      <w:rPr>
        <w:sz w:val="20"/>
        <w:szCs w:val="20"/>
      </w:rPr>
      <w:fldChar w:fldCharType="separate"/>
    </w:r>
    <w:r w:rsidR="00BD2AE9">
      <w:rPr>
        <w:noProof/>
        <w:sz w:val="20"/>
        <w:szCs w:val="20"/>
      </w:rPr>
      <w:t>6</w:t>
    </w:r>
    <w:r w:rsidR="007435AB">
      <w:rPr>
        <w:sz w:val="20"/>
        <w:szCs w:val="20"/>
      </w:rPr>
      <w:fldChar w:fldCharType="end"/>
    </w:r>
    <w:r w:rsidR="005C1373" w:rsidRPr="005C1373">
      <w:rPr>
        <w:sz w:val="20"/>
        <w:szCs w:val="20"/>
      </w:rPr>
      <w:t xml:space="preserve"> of</w:t>
    </w:r>
    <w:r w:rsidR="007435AB">
      <w:rPr>
        <w:sz w:val="20"/>
        <w:szCs w:val="20"/>
      </w:rPr>
      <w:t xml:space="preserve"> </w:t>
    </w:r>
    <w:r w:rsidR="005C1373" w:rsidRPr="005C1373">
      <w:rPr>
        <w:sz w:val="20"/>
        <w:szCs w:val="20"/>
      </w:rPr>
      <w:t xml:space="preserve"> </w:t>
    </w:r>
    <w:r w:rsidR="007435AB">
      <w:rPr>
        <w:sz w:val="20"/>
        <w:szCs w:val="20"/>
      </w:rPr>
      <w:t>6</w:t>
    </w:r>
    <w:r>
      <w:rPr>
        <w:sz w:val="20"/>
        <w:szCs w:val="20"/>
      </w:rPr>
      <w:t xml:space="preserve">                                  rev. 9/2019</w:t>
    </w:r>
  </w:p>
  <w:p w:rsidR="002B0579" w:rsidRPr="005C1373" w:rsidRDefault="002B0579" w:rsidP="002B0579">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73" w:rsidRDefault="002B0579">
    <w:pPr>
      <w:pStyle w:val="Footer"/>
    </w:pPr>
    <w:r w:rsidRPr="005C1373">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114935</wp:posOffset>
              </wp:positionV>
              <wp:extent cx="6400800" cy="0"/>
              <wp:effectExtent l="9525" t="10160" r="9525" b="889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666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F836" id="Line 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7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" strokecolor="#46669b"/>
          </w:pict>
        </mc:Fallback>
      </mc:AlternateContent>
    </w:r>
  </w:p>
  <w:p w:rsidR="00755381" w:rsidRDefault="00755381" w:rsidP="00755381">
    <w:pPr>
      <w:tabs>
        <w:tab w:val="center" w:pos="4320"/>
        <w:tab w:val="right" w:pos="8640"/>
      </w:tabs>
      <w:jc w:val="center"/>
      <w:rPr>
        <w:sz w:val="20"/>
      </w:rPr>
    </w:pPr>
    <w:r w:rsidRPr="00967871">
      <w:rPr>
        <w:sz w:val="20"/>
      </w:rPr>
      <w:t>Housing Trust Fund</w:t>
    </w:r>
    <w:r>
      <w:rPr>
        <w:sz w:val="20"/>
      </w:rPr>
      <w:t xml:space="preserve"> </w:t>
    </w:r>
    <w:r w:rsidRPr="00967871">
      <w:rPr>
        <w:sz w:val="20"/>
      </w:rPr>
      <w:t>Ventura County</w:t>
    </w:r>
    <w:r>
      <w:rPr>
        <w:sz w:val="20"/>
      </w:rPr>
      <w:t xml:space="preserve"> │ 360 Mobil Ave.</w:t>
    </w:r>
    <w:r w:rsidRPr="00967871">
      <w:rPr>
        <w:sz w:val="20"/>
      </w:rPr>
      <w:t xml:space="preserve">, Suite </w:t>
    </w:r>
    <w:r>
      <w:rPr>
        <w:sz w:val="20"/>
      </w:rPr>
      <w:t>213A</w:t>
    </w:r>
    <w:r w:rsidRPr="00967871">
      <w:rPr>
        <w:sz w:val="20"/>
      </w:rPr>
      <w:t>, Camarillo, CA 9301</w:t>
    </w:r>
    <w:r>
      <w:rPr>
        <w:sz w:val="20"/>
      </w:rPr>
      <w:t>0 │ Office: 805-385-1144</w:t>
    </w:r>
  </w:p>
  <w:p w:rsidR="00755381" w:rsidRDefault="00755381" w:rsidP="00755381">
    <w:pPr>
      <w:tabs>
        <w:tab w:val="center" w:pos="4320"/>
        <w:tab w:val="right" w:pos="8640"/>
      </w:tabs>
      <w:jc w:val="center"/>
      <w:rPr>
        <w:sz w:val="20"/>
      </w:rPr>
    </w:pPr>
  </w:p>
  <w:p w:rsidR="005C1373" w:rsidRPr="00755381" w:rsidRDefault="00755381" w:rsidP="00755381">
    <w:pPr>
      <w:tabs>
        <w:tab w:val="center" w:pos="4320"/>
        <w:tab w:val="right" w:pos="8640"/>
      </w:tabs>
      <w:jc w:val="right"/>
      <w:rPr>
        <w:rFonts w:ascii="Calibri" w:hAnsi="Calibri"/>
        <w:sz w:val="20"/>
      </w:rPr>
    </w:pPr>
    <w:r>
      <w:rPr>
        <w:sz w:val="20"/>
      </w:rPr>
      <w:t xml:space="preserve">Rev. </w:t>
    </w:r>
    <w:r>
      <w:rPr>
        <w:sz w:val="20"/>
      </w:rPr>
      <w:t>9</w:t>
    </w:r>
    <w:r>
      <w:rPr>
        <w:sz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E87" w:rsidRDefault="00F83E87">
      <w:r>
        <w:separator/>
      </w:r>
    </w:p>
  </w:footnote>
  <w:footnote w:type="continuationSeparator" w:id="0">
    <w:p w:rsidR="00F83E87" w:rsidRDefault="00F83E87">
      <w:r>
        <w:continuationSeparator/>
      </w:r>
    </w:p>
  </w:footnote>
  <w:footnote w:id="1">
    <w:p w:rsidR="00BC0BFA" w:rsidRDefault="00BC0BFA">
      <w:pPr>
        <w:pStyle w:val="FootnoteText"/>
      </w:pPr>
      <w:r>
        <w:rPr>
          <w:rStyle w:val="FootnoteReference"/>
        </w:rPr>
        <w:footnoteRef/>
      </w:r>
      <w:r>
        <w:t xml:space="preserve"> The various income limits that </w:t>
      </w:r>
      <w:r w:rsidR="00755381">
        <w:t>HTFVC</w:t>
      </w:r>
      <w:r>
        <w:t xml:space="preserve"> use are posted online at </w:t>
      </w:r>
      <w:hyperlink r:id="rId1" w:history="1">
        <w:r w:rsidRPr="009222BD">
          <w:rPr>
            <w:rStyle w:val="Hyperlink"/>
          </w:rPr>
          <w:t>www.HUD.gov</w:t>
        </w:r>
      </w:hyperlink>
      <w:r>
        <w:t>. The income limits are updated annually.</w:t>
      </w:r>
    </w:p>
  </w:footnote>
  <w:footnote w:id="2">
    <w:p w:rsidR="00BC0BFA" w:rsidRDefault="00BC0BFA">
      <w:pPr>
        <w:pStyle w:val="FootnoteText"/>
      </w:pPr>
      <w:r>
        <w:rPr>
          <w:rStyle w:val="FootnoteReference"/>
        </w:rPr>
        <w:footnoteRef/>
      </w:r>
      <w:r>
        <w:t xml:space="preserve"> </w:t>
      </w:r>
      <w:r w:rsidR="00755381">
        <w:t>HTFVC</w:t>
      </w:r>
      <w:r w:rsidRPr="00C65821">
        <w:t xml:space="preserve"> cannot provide financing that is secured by owner-occupied homes.</w:t>
      </w:r>
    </w:p>
  </w:footnote>
  <w:footnote w:id="3">
    <w:p w:rsidR="00BC0BFA" w:rsidRDefault="00BC0BFA" w:rsidP="00BC0BFA">
      <w:pPr>
        <w:pStyle w:val="EndnoteText"/>
      </w:pPr>
      <w:r>
        <w:rPr>
          <w:rStyle w:val="FootnoteReference"/>
        </w:rPr>
        <w:footnoteRef/>
      </w:r>
      <w:r>
        <w:t xml:space="preserve"> </w:t>
      </w:r>
      <w:r w:rsidR="00755381">
        <w:t>HTFVC</w:t>
      </w:r>
      <w:r w:rsidRPr="00C65821">
        <w:t xml:space="preserve"> has various sources of funds.  Some have specific inc</w:t>
      </w:r>
      <w:r>
        <w:t>o</w:t>
      </w:r>
      <w:r w:rsidRPr="00C65821">
        <w:t xml:space="preserve">me targeting requirements.  </w:t>
      </w:r>
      <w:r w:rsidR="00755381">
        <w:t>HTFVC</w:t>
      </w:r>
      <w:r w:rsidRPr="00C65821">
        <w:t xml:space="preserve"> will finance mixed income </w:t>
      </w:r>
      <w:r>
        <w:t>development</w:t>
      </w:r>
      <w:r w:rsidRPr="00C65821">
        <w:t xml:space="preserve">s that include market rate units.  See our income limits at </w:t>
      </w:r>
      <w:r w:rsidR="00132738">
        <w:fldChar w:fldCharType="begin"/>
      </w:r>
      <w:r w:rsidR="00132738">
        <w:instrText xml:space="preserve"> HYPERLINK "http://</w:instrText>
      </w:r>
      <w:r w:rsidR="00132738" w:rsidRPr="00132738">
        <w:instrText>www.HousingTrustFundVC.org</w:instrText>
      </w:r>
      <w:r w:rsidR="00132738">
        <w:instrText xml:space="preserve">" </w:instrText>
      </w:r>
      <w:r w:rsidR="00132738">
        <w:fldChar w:fldCharType="separate"/>
      </w:r>
      <w:r w:rsidR="00132738" w:rsidRPr="00EC0DDA">
        <w:rPr>
          <w:rStyle w:val="Hyperlink"/>
        </w:rPr>
        <w:t>www.H</w:t>
      </w:r>
      <w:r w:rsidR="00132738" w:rsidRPr="00EC0DDA">
        <w:rPr>
          <w:rStyle w:val="Hyperlink"/>
        </w:rPr>
        <w:t>ousingTrustFundVC.org</w:t>
      </w:r>
      <w:r w:rsidR="00132738">
        <w:fldChar w:fldCharType="end"/>
      </w:r>
      <w:r w:rsidRPr="00C65821">
        <w:t>.</w:t>
      </w:r>
    </w:p>
  </w:footnote>
  <w:footnote w:id="4">
    <w:p w:rsidR="007435AB" w:rsidRDefault="007435AB">
      <w:pPr>
        <w:pStyle w:val="FootnoteText"/>
      </w:pPr>
      <w:r>
        <w:rPr>
          <w:rStyle w:val="FootnoteReference"/>
        </w:rPr>
        <w:footnoteRef/>
      </w:r>
      <w:r>
        <w:t xml:space="preserve"> </w:t>
      </w:r>
      <w:r w:rsidRPr="00F07EED">
        <w:t xml:space="preserve">See the separate </w:t>
      </w:r>
      <w:r w:rsidR="002B0579">
        <w:t>Program Guidelines at www.</w:t>
      </w:r>
      <w:r w:rsidRPr="00F07EED">
        <w:t>HousingTrustFund</w:t>
      </w:r>
      <w:r w:rsidR="002B0579">
        <w:t>VC</w:t>
      </w:r>
      <w:r w:rsidRPr="00F07EED">
        <w:t>.org.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81" w:rsidRPr="00FA6381" w:rsidRDefault="00755381" w:rsidP="00755381">
    <w:pPr>
      <w:pStyle w:val="Title"/>
      <w:tabs>
        <w:tab w:val="left" w:pos="8640"/>
      </w:tabs>
      <w:rPr>
        <w:rFonts w:ascii="Calibri" w:hAnsi="Calibri"/>
        <w:color w:val="46669B"/>
        <w:sz w:val="40"/>
        <w:szCs w:val="40"/>
        <w:lang w:val="en-US"/>
      </w:rPr>
    </w:pPr>
    <w:r w:rsidRPr="00FA6381">
      <w:rPr>
        <w:rFonts w:ascii="Calibri" w:hAnsi="Calibri"/>
        <w:color w:val="284667"/>
        <w:sz w:val="40"/>
        <w:szCs w:val="40"/>
      </w:rPr>
      <w:t>Housing Trust Fund</w:t>
    </w:r>
    <w:r>
      <w:rPr>
        <w:rFonts w:ascii="Calibri" w:hAnsi="Calibri"/>
        <w:color w:val="46669B"/>
        <w:sz w:val="40"/>
        <w:szCs w:val="40"/>
        <w:lang w:val="en-US"/>
      </w:rPr>
      <w:t xml:space="preserve"> </w:t>
    </w:r>
    <w:r w:rsidRPr="00FA6381">
      <w:rPr>
        <w:rFonts w:ascii="Calibri" w:hAnsi="Calibri"/>
        <w:color w:val="98B449"/>
        <w:sz w:val="40"/>
        <w:szCs w:val="40"/>
      </w:rPr>
      <w:t>Ventura County</w:t>
    </w:r>
  </w:p>
  <w:p w:rsidR="00EE1103" w:rsidRDefault="00EE1103" w:rsidP="00EE1103">
    <w:pPr>
      <w:pStyle w:val="Title"/>
      <w:tabs>
        <w:tab w:val="left" w:pos="8640"/>
      </w:tabs>
      <w:rPr>
        <w:rFonts w:ascii="Calibri" w:hAnsi="Calibri"/>
        <w:color w:val="808080"/>
        <w:sz w:val="40"/>
        <w:szCs w:val="40"/>
      </w:rPr>
    </w:pPr>
    <w:r>
      <w:rPr>
        <w:rFonts w:ascii="Calibri" w:hAnsi="Calibri"/>
        <w:color w:val="808080"/>
        <w:sz w:val="40"/>
        <w:szCs w:val="40"/>
      </w:rPr>
      <w:t>Loan Review and Underwriting Guidelines</w:t>
    </w:r>
  </w:p>
  <w:p w:rsidR="00EE1103" w:rsidRDefault="002B0579" w:rsidP="00EE1103">
    <w:pPr>
      <w:pStyle w:val="Title"/>
      <w:tabs>
        <w:tab w:val="left" w:pos="8640"/>
      </w:tabs>
      <w:rPr>
        <w:rFonts w:ascii="Calibri" w:hAnsi="Calibri"/>
      </w:rPr>
    </w:pPr>
    <w:r>
      <w:rPr>
        <w:rFonts w:ascii="Calibri" w:hAnsi="Calibri"/>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125730</wp:posOffset>
              </wp:positionV>
              <wp:extent cx="7162800" cy="0"/>
              <wp:effectExtent l="19050" t="20955" r="19050" b="1714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28575">
                        <a:solidFill>
                          <a:srgbClr val="4666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9BD9" id="Line 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9.9pt" to="53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" strokecolor="#46669b" strokeweight="2.25pt"/>
          </w:pict>
        </mc:Fallback>
      </mc:AlternateContent>
    </w:r>
  </w:p>
  <w:p w:rsidR="00EE1103" w:rsidRPr="00EE1103" w:rsidRDefault="00EE1103" w:rsidP="00EE1103">
    <w:pPr>
      <w:pStyle w:val="Title"/>
      <w:tabs>
        <w:tab w:val="left" w:pos="8640"/>
      </w:tabs>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1F6E"/>
    <w:multiLevelType w:val="hybridMultilevel"/>
    <w:tmpl w:val="C428B62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6C858D7"/>
    <w:multiLevelType w:val="multilevel"/>
    <w:tmpl w:val="529810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D056B2"/>
    <w:multiLevelType w:val="hybridMultilevel"/>
    <w:tmpl w:val="DB98E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86BE9"/>
    <w:multiLevelType w:val="multilevel"/>
    <w:tmpl w:val="52A286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C5A8B"/>
    <w:multiLevelType w:val="hybridMultilevel"/>
    <w:tmpl w:val="9E5CDB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24643"/>
    <w:multiLevelType w:val="hybridMultilevel"/>
    <w:tmpl w:val="653AB980"/>
    <w:lvl w:ilvl="0" w:tplc="BF9EAE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106FC"/>
    <w:multiLevelType w:val="hybridMultilevel"/>
    <w:tmpl w:val="B9A6834E"/>
    <w:lvl w:ilvl="0" w:tplc="A25C1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F6DA8"/>
    <w:multiLevelType w:val="hybridMultilevel"/>
    <w:tmpl w:val="23FA6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D56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8B603F1"/>
    <w:multiLevelType w:val="multilevel"/>
    <w:tmpl w:val="9E464A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886A57"/>
    <w:multiLevelType w:val="hybridMultilevel"/>
    <w:tmpl w:val="59B4DA20"/>
    <w:lvl w:ilvl="0" w:tplc="4D9239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77BF8"/>
    <w:multiLevelType w:val="multilevel"/>
    <w:tmpl w:val="9E464A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2924FBB"/>
    <w:multiLevelType w:val="multilevel"/>
    <w:tmpl w:val="FF064F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29A6C6F"/>
    <w:multiLevelType w:val="hybridMultilevel"/>
    <w:tmpl w:val="AFA2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44076"/>
    <w:multiLevelType w:val="hybridMultilevel"/>
    <w:tmpl w:val="641CE0C8"/>
    <w:lvl w:ilvl="0" w:tplc="508EC306">
      <w:start w:val="1"/>
      <w:numFmt w:val="bullet"/>
      <w:lvlText w:val=""/>
      <w:lvlJc w:val="left"/>
      <w:pPr>
        <w:tabs>
          <w:tab w:val="num" w:pos="18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ACE2DA5"/>
    <w:multiLevelType w:val="hybridMultilevel"/>
    <w:tmpl w:val="BD3E853E"/>
    <w:lvl w:ilvl="0" w:tplc="35FA343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43E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2C5BF9"/>
    <w:multiLevelType w:val="hybridMultilevel"/>
    <w:tmpl w:val="472A6376"/>
    <w:lvl w:ilvl="0" w:tplc="E03057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B46DB"/>
    <w:multiLevelType w:val="hybridMultilevel"/>
    <w:tmpl w:val="B53680E4"/>
    <w:lvl w:ilvl="0" w:tplc="6A56BC6E">
      <w:start w:val="3"/>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8B42C66">
      <w:start w:val="1"/>
      <w:numFmt w:val="lowerRoman"/>
      <w:lvlText w:val="%3."/>
      <w:lvlJc w:val="right"/>
      <w:pPr>
        <w:ind w:left="2865" w:hanging="180"/>
      </w:pPr>
      <w:rPr>
        <w:rFonts w:ascii="Times New Roman" w:eastAsia="Times New Roman" w:hAnsi="Times New Roman" w:cs="Times New Roman"/>
      </w:r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43C2307E"/>
    <w:multiLevelType w:val="multilevel"/>
    <w:tmpl w:val="5A0AAC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B86D38"/>
    <w:multiLevelType w:val="hybridMultilevel"/>
    <w:tmpl w:val="5C048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4D3D7E"/>
    <w:multiLevelType w:val="hybridMultilevel"/>
    <w:tmpl w:val="838AA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FF707F"/>
    <w:multiLevelType w:val="multilevel"/>
    <w:tmpl w:val="529810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1C48D0"/>
    <w:multiLevelType w:val="multilevel"/>
    <w:tmpl w:val="4AEA5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4087D17"/>
    <w:multiLevelType w:val="multilevel"/>
    <w:tmpl w:val="529810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E1786A"/>
    <w:multiLevelType w:val="hybridMultilevel"/>
    <w:tmpl w:val="B74EB5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9D29D3"/>
    <w:multiLevelType w:val="multilevel"/>
    <w:tmpl w:val="529810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7465FE6"/>
    <w:multiLevelType w:val="hybridMultilevel"/>
    <w:tmpl w:val="6A7C9130"/>
    <w:lvl w:ilvl="0" w:tplc="3BC46036">
      <w:start w:val="2"/>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C948F5"/>
    <w:multiLevelType w:val="hybridMultilevel"/>
    <w:tmpl w:val="4202A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D9180C"/>
    <w:multiLevelType w:val="hybridMultilevel"/>
    <w:tmpl w:val="FA3EE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98492C"/>
    <w:multiLevelType w:val="multilevel"/>
    <w:tmpl w:val="B706EC02"/>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12154E"/>
    <w:multiLevelType w:val="hybridMultilevel"/>
    <w:tmpl w:val="3160BFD8"/>
    <w:lvl w:ilvl="0" w:tplc="A374146E">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5AD73DF"/>
    <w:multiLevelType w:val="hybridMultilevel"/>
    <w:tmpl w:val="121AED94"/>
    <w:lvl w:ilvl="0" w:tplc="930833E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213373"/>
    <w:multiLevelType w:val="hybridMultilevel"/>
    <w:tmpl w:val="057CCDEA"/>
    <w:lvl w:ilvl="0" w:tplc="35FA2F90">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9A3E04"/>
    <w:multiLevelType w:val="multilevel"/>
    <w:tmpl w:val="308CE2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440" w:firstLine="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B9C0582"/>
    <w:multiLevelType w:val="hybridMultilevel"/>
    <w:tmpl w:val="E08874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5C528C"/>
    <w:multiLevelType w:val="hybridMultilevel"/>
    <w:tmpl w:val="935CCB3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D43930"/>
    <w:multiLevelType w:val="hybridMultilevel"/>
    <w:tmpl w:val="4FF8472C"/>
    <w:lvl w:ilvl="0" w:tplc="D9D8C34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22F14"/>
    <w:multiLevelType w:val="multilevel"/>
    <w:tmpl w:val="6B3C38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69D4951"/>
    <w:multiLevelType w:val="multilevel"/>
    <w:tmpl w:val="6B3C38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C23586"/>
    <w:multiLevelType w:val="hybridMultilevel"/>
    <w:tmpl w:val="880E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00C2A"/>
    <w:multiLevelType w:val="hybridMultilevel"/>
    <w:tmpl w:val="C5F26B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30A15"/>
    <w:multiLevelType w:val="hybridMultilevel"/>
    <w:tmpl w:val="8376D9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4523F8"/>
    <w:multiLevelType w:val="multilevel"/>
    <w:tmpl w:val="529810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DA5037E"/>
    <w:multiLevelType w:val="hybridMultilevel"/>
    <w:tmpl w:val="9C3C28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220C3F"/>
    <w:multiLevelType w:val="hybridMultilevel"/>
    <w:tmpl w:val="8DEAE27C"/>
    <w:lvl w:ilvl="0" w:tplc="40F8ED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4"/>
  </w:num>
  <w:num w:numId="4">
    <w:abstractNumId w:val="12"/>
  </w:num>
  <w:num w:numId="5">
    <w:abstractNumId w:val="16"/>
  </w:num>
  <w:num w:numId="6">
    <w:abstractNumId w:val="39"/>
  </w:num>
  <w:num w:numId="7">
    <w:abstractNumId w:val="11"/>
  </w:num>
  <w:num w:numId="8">
    <w:abstractNumId w:val="23"/>
  </w:num>
  <w:num w:numId="9">
    <w:abstractNumId w:val="44"/>
  </w:num>
  <w:num w:numId="10">
    <w:abstractNumId w:val="5"/>
  </w:num>
  <w:num w:numId="11">
    <w:abstractNumId w:val="4"/>
  </w:num>
  <w:num w:numId="12">
    <w:abstractNumId w:val="41"/>
  </w:num>
  <w:num w:numId="13">
    <w:abstractNumId w:val="35"/>
  </w:num>
  <w:num w:numId="14">
    <w:abstractNumId w:val="21"/>
  </w:num>
  <w:num w:numId="15">
    <w:abstractNumId w:val="38"/>
  </w:num>
  <w:num w:numId="16">
    <w:abstractNumId w:val="1"/>
  </w:num>
  <w:num w:numId="17">
    <w:abstractNumId w:val="22"/>
  </w:num>
  <w:num w:numId="18">
    <w:abstractNumId w:val="43"/>
  </w:num>
  <w:num w:numId="19">
    <w:abstractNumId w:val="24"/>
  </w:num>
  <w:num w:numId="20">
    <w:abstractNumId w:val="2"/>
  </w:num>
  <w:num w:numId="21">
    <w:abstractNumId w:val="20"/>
  </w:num>
  <w:num w:numId="22">
    <w:abstractNumId w:val="42"/>
  </w:num>
  <w:num w:numId="23">
    <w:abstractNumId w:val="6"/>
  </w:num>
  <w:num w:numId="24">
    <w:abstractNumId w:val="7"/>
  </w:num>
  <w:num w:numId="25">
    <w:abstractNumId w:val="36"/>
  </w:num>
  <w:num w:numId="26">
    <w:abstractNumId w:val="25"/>
  </w:num>
  <w:num w:numId="27">
    <w:abstractNumId w:val="3"/>
  </w:num>
  <w:num w:numId="28">
    <w:abstractNumId w:val="19"/>
  </w:num>
  <w:num w:numId="29">
    <w:abstractNumId w:val="33"/>
  </w:num>
  <w:num w:numId="30">
    <w:abstractNumId w:val="31"/>
  </w:num>
  <w:num w:numId="31">
    <w:abstractNumId w:val="14"/>
  </w:num>
  <w:num w:numId="32">
    <w:abstractNumId w:val="37"/>
  </w:num>
  <w:num w:numId="33">
    <w:abstractNumId w:val="32"/>
  </w:num>
  <w:num w:numId="34">
    <w:abstractNumId w:val="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5"/>
  </w:num>
  <w:num w:numId="38">
    <w:abstractNumId w:val="18"/>
  </w:num>
  <w:num w:numId="39">
    <w:abstractNumId w:val="26"/>
  </w:num>
  <w:num w:numId="40">
    <w:abstractNumId w:val="27"/>
  </w:num>
  <w:num w:numId="41">
    <w:abstractNumId w:val="17"/>
  </w:num>
  <w:num w:numId="42">
    <w:abstractNumId w:val="10"/>
  </w:num>
  <w:num w:numId="43">
    <w:abstractNumId w:val="40"/>
  </w:num>
  <w:num w:numId="44">
    <w:abstractNumId w:val="13"/>
  </w:num>
  <w:num w:numId="45">
    <w:abstractNumId w:val="30"/>
  </w:num>
  <w:num w:numId="46">
    <w:abstractNumId w:val="2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4666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A2"/>
    <w:rsid w:val="0000139C"/>
    <w:rsid w:val="00002104"/>
    <w:rsid w:val="00002209"/>
    <w:rsid w:val="00003C67"/>
    <w:rsid w:val="000068B5"/>
    <w:rsid w:val="00011897"/>
    <w:rsid w:val="00016E86"/>
    <w:rsid w:val="00020BBE"/>
    <w:rsid w:val="00023DF5"/>
    <w:rsid w:val="000240E9"/>
    <w:rsid w:val="00026110"/>
    <w:rsid w:val="0002686A"/>
    <w:rsid w:val="0003152C"/>
    <w:rsid w:val="00032383"/>
    <w:rsid w:val="00033F0C"/>
    <w:rsid w:val="00034611"/>
    <w:rsid w:val="000367A8"/>
    <w:rsid w:val="00041472"/>
    <w:rsid w:val="000415ED"/>
    <w:rsid w:val="00043DE1"/>
    <w:rsid w:val="00052F24"/>
    <w:rsid w:val="000534B4"/>
    <w:rsid w:val="00053D91"/>
    <w:rsid w:val="00055189"/>
    <w:rsid w:val="00062F9D"/>
    <w:rsid w:val="00070663"/>
    <w:rsid w:val="00071E4D"/>
    <w:rsid w:val="0007344D"/>
    <w:rsid w:val="00076324"/>
    <w:rsid w:val="00084ED3"/>
    <w:rsid w:val="000933C8"/>
    <w:rsid w:val="000945D8"/>
    <w:rsid w:val="00095935"/>
    <w:rsid w:val="000A2C6C"/>
    <w:rsid w:val="000A3590"/>
    <w:rsid w:val="000A4199"/>
    <w:rsid w:val="000B0A38"/>
    <w:rsid w:val="000B1217"/>
    <w:rsid w:val="000C0896"/>
    <w:rsid w:val="000C589B"/>
    <w:rsid w:val="000D2051"/>
    <w:rsid w:val="000D274F"/>
    <w:rsid w:val="000D311A"/>
    <w:rsid w:val="000D3C83"/>
    <w:rsid w:val="000D45E4"/>
    <w:rsid w:val="000E00D8"/>
    <w:rsid w:val="000F493E"/>
    <w:rsid w:val="000F53A0"/>
    <w:rsid w:val="000F77E8"/>
    <w:rsid w:val="00103EE1"/>
    <w:rsid w:val="0010522B"/>
    <w:rsid w:val="00106023"/>
    <w:rsid w:val="00107231"/>
    <w:rsid w:val="001137AA"/>
    <w:rsid w:val="00120151"/>
    <w:rsid w:val="00120CAA"/>
    <w:rsid w:val="0012441D"/>
    <w:rsid w:val="00132738"/>
    <w:rsid w:val="00136668"/>
    <w:rsid w:val="00140D8B"/>
    <w:rsid w:val="001420B0"/>
    <w:rsid w:val="00144C20"/>
    <w:rsid w:val="001523F8"/>
    <w:rsid w:val="0015583B"/>
    <w:rsid w:val="0015608C"/>
    <w:rsid w:val="00157A4A"/>
    <w:rsid w:val="001600C0"/>
    <w:rsid w:val="001604BC"/>
    <w:rsid w:val="00163F12"/>
    <w:rsid w:val="00164FC8"/>
    <w:rsid w:val="001679AC"/>
    <w:rsid w:val="00183CC1"/>
    <w:rsid w:val="001907BD"/>
    <w:rsid w:val="00192F63"/>
    <w:rsid w:val="00195C4F"/>
    <w:rsid w:val="0019678B"/>
    <w:rsid w:val="001969D2"/>
    <w:rsid w:val="00197FBF"/>
    <w:rsid w:val="001A067F"/>
    <w:rsid w:val="001A3709"/>
    <w:rsid w:val="001B40E7"/>
    <w:rsid w:val="001B4A0C"/>
    <w:rsid w:val="001B7A33"/>
    <w:rsid w:val="001C2A56"/>
    <w:rsid w:val="001C3067"/>
    <w:rsid w:val="001C32E8"/>
    <w:rsid w:val="001C6C23"/>
    <w:rsid w:val="001D06AA"/>
    <w:rsid w:val="001D3785"/>
    <w:rsid w:val="001D6BFA"/>
    <w:rsid w:val="001E1BC6"/>
    <w:rsid w:val="001E774C"/>
    <w:rsid w:val="001E7F53"/>
    <w:rsid w:val="001F0895"/>
    <w:rsid w:val="001F54D7"/>
    <w:rsid w:val="002036DB"/>
    <w:rsid w:val="00205045"/>
    <w:rsid w:val="00207155"/>
    <w:rsid w:val="00216449"/>
    <w:rsid w:val="00217878"/>
    <w:rsid w:val="00220703"/>
    <w:rsid w:val="00223FC9"/>
    <w:rsid w:val="0022571B"/>
    <w:rsid w:val="002268B1"/>
    <w:rsid w:val="00226EF9"/>
    <w:rsid w:val="002311B6"/>
    <w:rsid w:val="00236EA2"/>
    <w:rsid w:val="00242601"/>
    <w:rsid w:val="00243B21"/>
    <w:rsid w:val="002467CC"/>
    <w:rsid w:val="002468D1"/>
    <w:rsid w:val="00251823"/>
    <w:rsid w:val="00252E7F"/>
    <w:rsid w:val="0025379B"/>
    <w:rsid w:val="00253A22"/>
    <w:rsid w:val="00256FE3"/>
    <w:rsid w:val="00266268"/>
    <w:rsid w:val="00274D50"/>
    <w:rsid w:val="0027611B"/>
    <w:rsid w:val="00276947"/>
    <w:rsid w:val="002834E1"/>
    <w:rsid w:val="00283533"/>
    <w:rsid w:val="002849E9"/>
    <w:rsid w:val="00285EC9"/>
    <w:rsid w:val="00286075"/>
    <w:rsid w:val="00286592"/>
    <w:rsid w:val="00287456"/>
    <w:rsid w:val="00287746"/>
    <w:rsid w:val="002925DE"/>
    <w:rsid w:val="00292FDE"/>
    <w:rsid w:val="00293582"/>
    <w:rsid w:val="0029589F"/>
    <w:rsid w:val="002975BC"/>
    <w:rsid w:val="002A10AD"/>
    <w:rsid w:val="002A3384"/>
    <w:rsid w:val="002B0579"/>
    <w:rsid w:val="002B61AD"/>
    <w:rsid w:val="002C4F12"/>
    <w:rsid w:val="002D309E"/>
    <w:rsid w:val="002D498E"/>
    <w:rsid w:val="002E6D4E"/>
    <w:rsid w:val="002F0A12"/>
    <w:rsid w:val="002F3206"/>
    <w:rsid w:val="002F490B"/>
    <w:rsid w:val="002F5E37"/>
    <w:rsid w:val="0030560A"/>
    <w:rsid w:val="00305618"/>
    <w:rsid w:val="00305D4C"/>
    <w:rsid w:val="00307413"/>
    <w:rsid w:val="00313B8B"/>
    <w:rsid w:val="00314CDB"/>
    <w:rsid w:val="00316755"/>
    <w:rsid w:val="00322802"/>
    <w:rsid w:val="003306B6"/>
    <w:rsid w:val="00332E25"/>
    <w:rsid w:val="00335CE6"/>
    <w:rsid w:val="003410BA"/>
    <w:rsid w:val="0034163A"/>
    <w:rsid w:val="00345CD9"/>
    <w:rsid w:val="0034703F"/>
    <w:rsid w:val="003472F4"/>
    <w:rsid w:val="003536F0"/>
    <w:rsid w:val="0036056B"/>
    <w:rsid w:val="0036179A"/>
    <w:rsid w:val="00362862"/>
    <w:rsid w:val="003718CB"/>
    <w:rsid w:val="00375A97"/>
    <w:rsid w:val="0037641E"/>
    <w:rsid w:val="00380E15"/>
    <w:rsid w:val="00384A02"/>
    <w:rsid w:val="00386D81"/>
    <w:rsid w:val="00393733"/>
    <w:rsid w:val="00396D1D"/>
    <w:rsid w:val="00397C01"/>
    <w:rsid w:val="003A158B"/>
    <w:rsid w:val="003A2438"/>
    <w:rsid w:val="003A2F60"/>
    <w:rsid w:val="003A3295"/>
    <w:rsid w:val="003A79C4"/>
    <w:rsid w:val="003B3679"/>
    <w:rsid w:val="003C26A4"/>
    <w:rsid w:val="003C3F11"/>
    <w:rsid w:val="003C4378"/>
    <w:rsid w:val="003C4950"/>
    <w:rsid w:val="003C57DA"/>
    <w:rsid w:val="003C5B17"/>
    <w:rsid w:val="003C7819"/>
    <w:rsid w:val="003D1F7D"/>
    <w:rsid w:val="003D3130"/>
    <w:rsid w:val="003D3B9B"/>
    <w:rsid w:val="003E6A3D"/>
    <w:rsid w:val="003F31CD"/>
    <w:rsid w:val="003F331F"/>
    <w:rsid w:val="003F33A7"/>
    <w:rsid w:val="00403599"/>
    <w:rsid w:val="004036B7"/>
    <w:rsid w:val="00405CCA"/>
    <w:rsid w:val="00412616"/>
    <w:rsid w:val="00413FBC"/>
    <w:rsid w:val="00420667"/>
    <w:rsid w:val="00421478"/>
    <w:rsid w:val="0042511B"/>
    <w:rsid w:val="0042710F"/>
    <w:rsid w:val="00427129"/>
    <w:rsid w:val="0043095A"/>
    <w:rsid w:val="00433420"/>
    <w:rsid w:val="00437CD7"/>
    <w:rsid w:val="00441C0A"/>
    <w:rsid w:val="00445F71"/>
    <w:rsid w:val="004460FC"/>
    <w:rsid w:val="00447F9E"/>
    <w:rsid w:val="00450B7D"/>
    <w:rsid w:val="0045269D"/>
    <w:rsid w:val="00452EED"/>
    <w:rsid w:val="00455A8D"/>
    <w:rsid w:val="00456C47"/>
    <w:rsid w:val="004578EE"/>
    <w:rsid w:val="004608BA"/>
    <w:rsid w:val="004634D6"/>
    <w:rsid w:val="00466BBF"/>
    <w:rsid w:val="00467DE4"/>
    <w:rsid w:val="00470C10"/>
    <w:rsid w:val="00472682"/>
    <w:rsid w:val="0047435B"/>
    <w:rsid w:val="00476085"/>
    <w:rsid w:val="00476CF2"/>
    <w:rsid w:val="00477598"/>
    <w:rsid w:val="00477747"/>
    <w:rsid w:val="0048045D"/>
    <w:rsid w:val="0048436C"/>
    <w:rsid w:val="0049064A"/>
    <w:rsid w:val="004928C2"/>
    <w:rsid w:val="00494EED"/>
    <w:rsid w:val="00495C8D"/>
    <w:rsid w:val="00496359"/>
    <w:rsid w:val="00496948"/>
    <w:rsid w:val="004A018D"/>
    <w:rsid w:val="004A0D03"/>
    <w:rsid w:val="004A143C"/>
    <w:rsid w:val="004A1AAA"/>
    <w:rsid w:val="004A1CA3"/>
    <w:rsid w:val="004A454F"/>
    <w:rsid w:val="004A7BA0"/>
    <w:rsid w:val="004B5C9B"/>
    <w:rsid w:val="004B6302"/>
    <w:rsid w:val="004B6C81"/>
    <w:rsid w:val="004C1076"/>
    <w:rsid w:val="004C2E7D"/>
    <w:rsid w:val="004C3741"/>
    <w:rsid w:val="004C3848"/>
    <w:rsid w:val="004C406E"/>
    <w:rsid w:val="004C40A4"/>
    <w:rsid w:val="004D05AF"/>
    <w:rsid w:val="004E5440"/>
    <w:rsid w:val="004E5D5E"/>
    <w:rsid w:val="004E710D"/>
    <w:rsid w:val="004F070A"/>
    <w:rsid w:val="004F1DDC"/>
    <w:rsid w:val="004F2D3C"/>
    <w:rsid w:val="004F306A"/>
    <w:rsid w:val="004F3D9E"/>
    <w:rsid w:val="004F65A6"/>
    <w:rsid w:val="004F6CA6"/>
    <w:rsid w:val="00500076"/>
    <w:rsid w:val="00506163"/>
    <w:rsid w:val="00507C75"/>
    <w:rsid w:val="00510209"/>
    <w:rsid w:val="00511F24"/>
    <w:rsid w:val="00513124"/>
    <w:rsid w:val="005151B1"/>
    <w:rsid w:val="0051648E"/>
    <w:rsid w:val="00516834"/>
    <w:rsid w:val="005177ED"/>
    <w:rsid w:val="005212C9"/>
    <w:rsid w:val="00522232"/>
    <w:rsid w:val="0052448D"/>
    <w:rsid w:val="00531328"/>
    <w:rsid w:val="00541C2C"/>
    <w:rsid w:val="00553123"/>
    <w:rsid w:val="00553209"/>
    <w:rsid w:val="00553343"/>
    <w:rsid w:val="00554492"/>
    <w:rsid w:val="005552E8"/>
    <w:rsid w:val="005561EA"/>
    <w:rsid w:val="00556E16"/>
    <w:rsid w:val="005576FD"/>
    <w:rsid w:val="005602EB"/>
    <w:rsid w:val="00560E67"/>
    <w:rsid w:val="0056342D"/>
    <w:rsid w:val="0057273C"/>
    <w:rsid w:val="00574929"/>
    <w:rsid w:val="00574AB7"/>
    <w:rsid w:val="00575784"/>
    <w:rsid w:val="005824E9"/>
    <w:rsid w:val="00584154"/>
    <w:rsid w:val="00584B6E"/>
    <w:rsid w:val="00584F56"/>
    <w:rsid w:val="00594348"/>
    <w:rsid w:val="00594919"/>
    <w:rsid w:val="00595E24"/>
    <w:rsid w:val="00597AFC"/>
    <w:rsid w:val="005A035A"/>
    <w:rsid w:val="005A47BA"/>
    <w:rsid w:val="005A60A3"/>
    <w:rsid w:val="005A7517"/>
    <w:rsid w:val="005B0948"/>
    <w:rsid w:val="005B2823"/>
    <w:rsid w:val="005B3D5A"/>
    <w:rsid w:val="005B5382"/>
    <w:rsid w:val="005B5926"/>
    <w:rsid w:val="005B6D08"/>
    <w:rsid w:val="005C1373"/>
    <w:rsid w:val="005C26C8"/>
    <w:rsid w:val="005C3C8F"/>
    <w:rsid w:val="005C7984"/>
    <w:rsid w:val="005D311A"/>
    <w:rsid w:val="005D36D9"/>
    <w:rsid w:val="005D5C83"/>
    <w:rsid w:val="005E04F2"/>
    <w:rsid w:val="005E1A0A"/>
    <w:rsid w:val="005E2F26"/>
    <w:rsid w:val="005E3CCB"/>
    <w:rsid w:val="005E68B7"/>
    <w:rsid w:val="005E6A7D"/>
    <w:rsid w:val="005E7D11"/>
    <w:rsid w:val="005F1454"/>
    <w:rsid w:val="005F172A"/>
    <w:rsid w:val="005F595A"/>
    <w:rsid w:val="005F676F"/>
    <w:rsid w:val="00600494"/>
    <w:rsid w:val="00600611"/>
    <w:rsid w:val="006068A3"/>
    <w:rsid w:val="00610086"/>
    <w:rsid w:val="00612437"/>
    <w:rsid w:val="00620C2C"/>
    <w:rsid w:val="006216A2"/>
    <w:rsid w:val="00621D70"/>
    <w:rsid w:val="006232FE"/>
    <w:rsid w:val="00623713"/>
    <w:rsid w:val="0062424C"/>
    <w:rsid w:val="00625C02"/>
    <w:rsid w:val="006351FD"/>
    <w:rsid w:val="00637FE5"/>
    <w:rsid w:val="006471D3"/>
    <w:rsid w:val="00650BDB"/>
    <w:rsid w:val="00652C63"/>
    <w:rsid w:val="006534FD"/>
    <w:rsid w:val="006560F2"/>
    <w:rsid w:val="0065692E"/>
    <w:rsid w:val="00663027"/>
    <w:rsid w:val="00672EFC"/>
    <w:rsid w:val="00682338"/>
    <w:rsid w:val="00691E95"/>
    <w:rsid w:val="00692C6F"/>
    <w:rsid w:val="006A1129"/>
    <w:rsid w:val="006A1A5B"/>
    <w:rsid w:val="006B4910"/>
    <w:rsid w:val="006C44B3"/>
    <w:rsid w:val="006C5777"/>
    <w:rsid w:val="006D0DAA"/>
    <w:rsid w:val="006D6800"/>
    <w:rsid w:val="006E5251"/>
    <w:rsid w:val="006E6E0D"/>
    <w:rsid w:val="006E752D"/>
    <w:rsid w:val="006F74B8"/>
    <w:rsid w:val="00703D30"/>
    <w:rsid w:val="00704DF9"/>
    <w:rsid w:val="00705825"/>
    <w:rsid w:val="00705D24"/>
    <w:rsid w:val="00706878"/>
    <w:rsid w:val="007075AE"/>
    <w:rsid w:val="00712D53"/>
    <w:rsid w:val="00714544"/>
    <w:rsid w:val="0071584E"/>
    <w:rsid w:val="00716C52"/>
    <w:rsid w:val="00717CB0"/>
    <w:rsid w:val="00724F99"/>
    <w:rsid w:val="0073101F"/>
    <w:rsid w:val="00731A51"/>
    <w:rsid w:val="00733BAF"/>
    <w:rsid w:val="007349DE"/>
    <w:rsid w:val="00742A31"/>
    <w:rsid w:val="007435AB"/>
    <w:rsid w:val="00743A5B"/>
    <w:rsid w:val="0074500E"/>
    <w:rsid w:val="00751AA0"/>
    <w:rsid w:val="00751CD2"/>
    <w:rsid w:val="00755381"/>
    <w:rsid w:val="00755644"/>
    <w:rsid w:val="00756957"/>
    <w:rsid w:val="00761F42"/>
    <w:rsid w:val="00764BA8"/>
    <w:rsid w:val="00765286"/>
    <w:rsid w:val="00773D39"/>
    <w:rsid w:val="00774C42"/>
    <w:rsid w:val="0077695C"/>
    <w:rsid w:val="00782A08"/>
    <w:rsid w:val="007834E3"/>
    <w:rsid w:val="0078490A"/>
    <w:rsid w:val="00785255"/>
    <w:rsid w:val="00794A33"/>
    <w:rsid w:val="00796A56"/>
    <w:rsid w:val="007A4853"/>
    <w:rsid w:val="007A6E30"/>
    <w:rsid w:val="007A7EB1"/>
    <w:rsid w:val="007B0B61"/>
    <w:rsid w:val="007B2870"/>
    <w:rsid w:val="007B3C46"/>
    <w:rsid w:val="007B6495"/>
    <w:rsid w:val="007B651D"/>
    <w:rsid w:val="007B7E5C"/>
    <w:rsid w:val="007C0CA8"/>
    <w:rsid w:val="007C0E52"/>
    <w:rsid w:val="007C1B1A"/>
    <w:rsid w:val="007C3BED"/>
    <w:rsid w:val="007C60C6"/>
    <w:rsid w:val="007D0358"/>
    <w:rsid w:val="007D0771"/>
    <w:rsid w:val="007D3EE9"/>
    <w:rsid w:val="007D62A4"/>
    <w:rsid w:val="007D7D2B"/>
    <w:rsid w:val="007E1AED"/>
    <w:rsid w:val="007F165A"/>
    <w:rsid w:val="007F5FCC"/>
    <w:rsid w:val="00800B94"/>
    <w:rsid w:val="008022AB"/>
    <w:rsid w:val="00802F33"/>
    <w:rsid w:val="008056A9"/>
    <w:rsid w:val="00807E57"/>
    <w:rsid w:val="008149C7"/>
    <w:rsid w:val="00815ECE"/>
    <w:rsid w:val="0082422E"/>
    <w:rsid w:val="00826A5A"/>
    <w:rsid w:val="00826B2E"/>
    <w:rsid w:val="0083309D"/>
    <w:rsid w:val="00834BEB"/>
    <w:rsid w:val="00835C5A"/>
    <w:rsid w:val="0083657D"/>
    <w:rsid w:val="00837511"/>
    <w:rsid w:val="00840B5F"/>
    <w:rsid w:val="008446CE"/>
    <w:rsid w:val="00845255"/>
    <w:rsid w:val="00850DF6"/>
    <w:rsid w:val="008519F9"/>
    <w:rsid w:val="00851E72"/>
    <w:rsid w:val="00853E28"/>
    <w:rsid w:val="00854D62"/>
    <w:rsid w:val="00855E00"/>
    <w:rsid w:val="00857A82"/>
    <w:rsid w:val="00857D1E"/>
    <w:rsid w:val="0086036B"/>
    <w:rsid w:val="00860CB5"/>
    <w:rsid w:val="00865244"/>
    <w:rsid w:val="00867CDB"/>
    <w:rsid w:val="008700DF"/>
    <w:rsid w:val="00871AF6"/>
    <w:rsid w:val="00872AA6"/>
    <w:rsid w:val="00872F6E"/>
    <w:rsid w:val="00874597"/>
    <w:rsid w:val="00886AC1"/>
    <w:rsid w:val="00891006"/>
    <w:rsid w:val="00896DBD"/>
    <w:rsid w:val="008A1105"/>
    <w:rsid w:val="008A2A8F"/>
    <w:rsid w:val="008A484C"/>
    <w:rsid w:val="008A4E3C"/>
    <w:rsid w:val="008A633E"/>
    <w:rsid w:val="008B5A71"/>
    <w:rsid w:val="008C3D28"/>
    <w:rsid w:val="008C3F9F"/>
    <w:rsid w:val="008C48D0"/>
    <w:rsid w:val="008D17E1"/>
    <w:rsid w:val="008D49D5"/>
    <w:rsid w:val="008E0236"/>
    <w:rsid w:val="008E174B"/>
    <w:rsid w:val="008E4262"/>
    <w:rsid w:val="008E69CE"/>
    <w:rsid w:val="008F1818"/>
    <w:rsid w:val="008F2C20"/>
    <w:rsid w:val="008F542E"/>
    <w:rsid w:val="008F6AEC"/>
    <w:rsid w:val="009020F6"/>
    <w:rsid w:val="009033AE"/>
    <w:rsid w:val="00905252"/>
    <w:rsid w:val="00905F97"/>
    <w:rsid w:val="00911DBE"/>
    <w:rsid w:val="0091365D"/>
    <w:rsid w:val="00914336"/>
    <w:rsid w:val="00916499"/>
    <w:rsid w:val="0092008C"/>
    <w:rsid w:val="00920653"/>
    <w:rsid w:val="0092257A"/>
    <w:rsid w:val="009226F6"/>
    <w:rsid w:val="00924A2D"/>
    <w:rsid w:val="0092798D"/>
    <w:rsid w:val="00941C20"/>
    <w:rsid w:val="00942992"/>
    <w:rsid w:val="009449D7"/>
    <w:rsid w:val="00945A89"/>
    <w:rsid w:val="00945EB9"/>
    <w:rsid w:val="0095548C"/>
    <w:rsid w:val="0095662B"/>
    <w:rsid w:val="0096146D"/>
    <w:rsid w:val="009624DD"/>
    <w:rsid w:val="00964438"/>
    <w:rsid w:val="00970321"/>
    <w:rsid w:val="00971BC0"/>
    <w:rsid w:val="009754CF"/>
    <w:rsid w:val="00976E9B"/>
    <w:rsid w:val="0097729A"/>
    <w:rsid w:val="0098021B"/>
    <w:rsid w:val="009802C8"/>
    <w:rsid w:val="00986EBC"/>
    <w:rsid w:val="00991B5C"/>
    <w:rsid w:val="0099719B"/>
    <w:rsid w:val="009974C1"/>
    <w:rsid w:val="009A7AD4"/>
    <w:rsid w:val="009B3198"/>
    <w:rsid w:val="009C36E5"/>
    <w:rsid w:val="009C461C"/>
    <w:rsid w:val="009C5626"/>
    <w:rsid w:val="009C703A"/>
    <w:rsid w:val="009D2D33"/>
    <w:rsid w:val="009D41EF"/>
    <w:rsid w:val="009E5465"/>
    <w:rsid w:val="009E6C9B"/>
    <w:rsid w:val="009E71A2"/>
    <w:rsid w:val="009F0E84"/>
    <w:rsid w:val="009F1E31"/>
    <w:rsid w:val="009F2191"/>
    <w:rsid w:val="009F2747"/>
    <w:rsid w:val="009F2F93"/>
    <w:rsid w:val="009F63FC"/>
    <w:rsid w:val="00A00126"/>
    <w:rsid w:val="00A116D7"/>
    <w:rsid w:val="00A13C67"/>
    <w:rsid w:val="00A1554C"/>
    <w:rsid w:val="00A16A9E"/>
    <w:rsid w:val="00A208CA"/>
    <w:rsid w:val="00A218CF"/>
    <w:rsid w:val="00A230D4"/>
    <w:rsid w:val="00A2364A"/>
    <w:rsid w:val="00A25E7B"/>
    <w:rsid w:val="00A26F4D"/>
    <w:rsid w:val="00A27B30"/>
    <w:rsid w:val="00A337C9"/>
    <w:rsid w:val="00A446B9"/>
    <w:rsid w:val="00A50CCE"/>
    <w:rsid w:val="00A51CD5"/>
    <w:rsid w:val="00A56AF2"/>
    <w:rsid w:val="00A609D5"/>
    <w:rsid w:val="00A644BC"/>
    <w:rsid w:val="00A64CCB"/>
    <w:rsid w:val="00A6538B"/>
    <w:rsid w:val="00A65B32"/>
    <w:rsid w:val="00A66E29"/>
    <w:rsid w:val="00A717EF"/>
    <w:rsid w:val="00A7283C"/>
    <w:rsid w:val="00A74290"/>
    <w:rsid w:val="00A74502"/>
    <w:rsid w:val="00A75BDE"/>
    <w:rsid w:val="00A8278A"/>
    <w:rsid w:val="00A835B9"/>
    <w:rsid w:val="00A84978"/>
    <w:rsid w:val="00A911D5"/>
    <w:rsid w:val="00A92B79"/>
    <w:rsid w:val="00A94830"/>
    <w:rsid w:val="00A94E53"/>
    <w:rsid w:val="00A952A8"/>
    <w:rsid w:val="00A96FAD"/>
    <w:rsid w:val="00A97270"/>
    <w:rsid w:val="00AA0690"/>
    <w:rsid w:val="00AA219E"/>
    <w:rsid w:val="00AA6509"/>
    <w:rsid w:val="00AA79C6"/>
    <w:rsid w:val="00AB4009"/>
    <w:rsid w:val="00AB4A09"/>
    <w:rsid w:val="00AB6277"/>
    <w:rsid w:val="00AB6282"/>
    <w:rsid w:val="00AB7412"/>
    <w:rsid w:val="00AB7569"/>
    <w:rsid w:val="00AC4159"/>
    <w:rsid w:val="00AC62A2"/>
    <w:rsid w:val="00AD0308"/>
    <w:rsid w:val="00AD57BC"/>
    <w:rsid w:val="00AE033F"/>
    <w:rsid w:val="00AE1F05"/>
    <w:rsid w:val="00AE5D91"/>
    <w:rsid w:val="00AE77A6"/>
    <w:rsid w:val="00AF2C3E"/>
    <w:rsid w:val="00AF357F"/>
    <w:rsid w:val="00AF44C6"/>
    <w:rsid w:val="00B025BF"/>
    <w:rsid w:val="00B04C71"/>
    <w:rsid w:val="00B12020"/>
    <w:rsid w:val="00B12611"/>
    <w:rsid w:val="00B13946"/>
    <w:rsid w:val="00B1477D"/>
    <w:rsid w:val="00B15F54"/>
    <w:rsid w:val="00B21525"/>
    <w:rsid w:val="00B228BD"/>
    <w:rsid w:val="00B2348F"/>
    <w:rsid w:val="00B23A12"/>
    <w:rsid w:val="00B2453A"/>
    <w:rsid w:val="00B256E5"/>
    <w:rsid w:val="00B25A0B"/>
    <w:rsid w:val="00B25B71"/>
    <w:rsid w:val="00B34DA9"/>
    <w:rsid w:val="00B34FDB"/>
    <w:rsid w:val="00B42285"/>
    <w:rsid w:val="00B4354B"/>
    <w:rsid w:val="00B43637"/>
    <w:rsid w:val="00B43E84"/>
    <w:rsid w:val="00B446F3"/>
    <w:rsid w:val="00B472D3"/>
    <w:rsid w:val="00B52F62"/>
    <w:rsid w:val="00B535D1"/>
    <w:rsid w:val="00B53933"/>
    <w:rsid w:val="00B564DF"/>
    <w:rsid w:val="00B62FFD"/>
    <w:rsid w:val="00B65C3C"/>
    <w:rsid w:val="00B6775E"/>
    <w:rsid w:val="00B73930"/>
    <w:rsid w:val="00B74D5E"/>
    <w:rsid w:val="00B837A1"/>
    <w:rsid w:val="00B855FE"/>
    <w:rsid w:val="00B91D7C"/>
    <w:rsid w:val="00B94F30"/>
    <w:rsid w:val="00B95840"/>
    <w:rsid w:val="00B97D89"/>
    <w:rsid w:val="00BA2212"/>
    <w:rsid w:val="00BA494B"/>
    <w:rsid w:val="00BA4BDF"/>
    <w:rsid w:val="00BA5ECD"/>
    <w:rsid w:val="00BA65B7"/>
    <w:rsid w:val="00BB3372"/>
    <w:rsid w:val="00BB55BE"/>
    <w:rsid w:val="00BC0BFA"/>
    <w:rsid w:val="00BC0FA3"/>
    <w:rsid w:val="00BC25EA"/>
    <w:rsid w:val="00BC395D"/>
    <w:rsid w:val="00BC7B04"/>
    <w:rsid w:val="00BD2AE9"/>
    <w:rsid w:val="00BE1075"/>
    <w:rsid w:val="00BE2220"/>
    <w:rsid w:val="00BE5EAC"/>
    <w:rsid w:val="00BE629A"/>
    <w:rsid w:val="00BE62BE"/>
    <w:rsid w:val="00BE7B5A"/>
    <w:rsid w:val="00BF6251"/>
    <w:rsid w:val="00C06148"/>
    <w:rsid w:val="00C0698B"/>
    <w:rsid w:val="00C06B27"/>
    <w:rsid w:val="00C06EE2"/>
    <w:rsid w:val="00C070DB"/>
    <w:rsid w:val="00C10452"/>
    <w:rsid w:val="00C1453B"/>
    <w:rsid w:val="00C14C56"/>
    <w:rsid w:val="00C17602"/>
    <w:rsid w:val="00C17AD6"/>
    <w:rsid w:val="00C17BD6"/>
    <w:rsid w:val="00C2230D"/>
    <w:rsid w:val="00C3665B"/>
    <w:rsid w:val="00C36AF7"/>
    <w:rsid w:val="00C40E2B"/>
    <w:rsid w:val="00C419F9"/>
    <w:rsid w:val="00C47F23"/>
    <w:rsid w:val="00C564D9"/>
    <w:rsid w:val="00C61353"/>
    <w:rsid w:val="00C6242E"/>
    <w:rsid w:val="00C62457"/>
    <w:rsid w:val="00C65821"/>
    <w:rsid w:val="00C6591E"/>
    <w:rsid w:val="00C67B40"/>
    <w:rsid w:val="00C76F7C"/>
    <w:rsid w:val="00C77019"/>
    <w:rsid w:val="00C77671"/>
    <w:rsid w:val="00C83AC4"/>
    <w:rsid w:val="00C86C6C"/>
    <w:rsid w:val="00C95DCF"/>
    <w:rsid w:val="00C9719C"/>
    <w:rsid w:val="00C97B86"/>
    <w:rsid w:val="00CA0942"/>
    <w:rsid w:val="00CA2826"/>
    <w:rsid w:val="00CA2E45"/>
    <w:rsid w:val="00CA587A"/>
    <w:rsid w:val="00CA61F5"/>
    <w:rsid w:val="00CA7528"/>
    <w:rsid w:val="00CB2A3E"/>
    <w:rsid w:val="00CB4164"/>
    <w:rsid w:val="00CB5C0F"/>
    <w:rsid w:val="00CB5ECA"/>
    <w:rsid w:val="00CC015B"/>
    <w:rsid w:val="00CC2301"/>
    <w:rsid w:val="00CC2AA4"/>
    <w:rsid w:val="00CC2EE6"/>
    <w:rsid w:val="00CD04C7"/>
    <w:rsid w:val="00CD0DAC"/>
    <w:rsid w:val="00CD2DED"/>
    <w:rsid w:val="00CD33A6"/>
    <w:rsid w:val="00CD5AE4"/>
    <w:rsid w:val="00CE55F8"/>
    <w:rsid w:val="00CF114F"/>
    <w:rsid w:val="00CF1F19"/>
    <w:rsid w:val="00CF6052"/>
    <w:rsid w:val="00D000EA"/>
    <w:rsid w:val="00D0641F"/>
    <w:rsid w:val="00D0644D"/>
    <w:rsid w:val="00D1099F"/>
    <w:rsid w:val="00D10C32"/>
    <w:rsid w:val="00D1592D"/>
    <w:rsid w:val="00D1780A"/>
    <w:rsid w:val="00D22052"/>
    <w:rsid w:val="00D22C7E"/>
    <w:rsid w:val="00D31033"/>
    <w:rsid w:val="00D34B6D"/>
    <w:rsid w:val="00D34DCE"/>
    <w:rsid w:val="00D3546C"/>
    <w:rsid w:val="00D35B54"/>
    <w:rsid w:val="00D37A9C"/>
    <w:rsid w:val="00D42565"/>
    <w:rsid w:val="00D43ACD"/>
    <w:rsid w:val="00D47CC1"/>
    <w:rsid w:val="00D563A7"/>
    <w:rsid w:val="00D571A4"/>
    <w:rsid w:val="00D77616"/>
    <w:rsid w:val="00D77A99"/>
    <w:rsid w:val="00D8179A"/>
    <w:rsid w:val="00D81BE4"/>
    <w:rsid w:val="00D82C34"/>
    <w:rsid w:val="00D83659"/>
    <w:rsid w:val="00D85D8D"/>
    <w:rsid w:val="00D90143"/>
    <w:rsid w:val="00D90540"/>
    <w:rsid w:val="00D90689"/>
    <w:rsid w:val="00D919B8"/>
    <w:rsid w:val="00D92A34"/>
    <w:rsid w:val="00D9315C"/>
    <w:rsid w:val="00D93345"/>
    <w:rsid w:val="00D93FD1"/>
    <w:rsid w:val="00D9601E"/>
    <w:rsid w:val="00D97574"/>
    <w:rsid w:val="00DA1734"/>
    <w:rsid w:val="00DA2498"/>
    <w:rsid w:val="00DA540F"/>
    <w:rsid w:val="00DA5750"/>
    <w:rsid w:val="00DA61F4"/>
    <w:rsid w:val="00DB128D"/>
    <w:rsid w:val="00DB3703"/>
    <w:rsid w:val="00DB57D4"/>
    <w:rsid w:val="00DC4ADF"/>
    <w:rsid w:val="00DC7CFB"/>
    <w:rsid w:val="00DD252E"/>
    <w:rsid w:val="00DD4565"/>
    <w:rsid w:val="00DD4BEE"/>
    <w:rsid w:val="00DD7231"/>
    <w:rsid w:val="00DE1188"/>
    <w:rsid w:val="00DE19F9"/>
    <w:rsid w:val="00DE303F"/>
    <w:rsid w:val="00DE3576"/>
    <w:rsid w:val="00DE4A5D"/>
    <w:rsid w:val="00DE7EA4"/>
    <w:rsid w:val="00DF0067"/>
    <w:rsid w:val="00DF0076"/>
    <w:rsid w:val="00DF10F3"/>
    <w:rsid w:val="00DF1156"/>
    <w:rsid w:val="00DF5D85"/>
    <w:rsid w:val="00DF6505"/>
    <w:rsid w:val="00E03730"/>
    <w:rsid w:val="00E051C3"/>
    <w:rsid w:val="00E05D4A"/>
    <w:rsid w:val="00E10681"/>
    <w:rsid w:val="00E112AC"/>
    <w:rsid w:val="00E23146"/>
    <w:rsid w:val="00E23EB5"/>
    <w:rsid w:val="00E26EC3"/>
    <w:rsid w:val="00E30A64"/>
    <w:rsid w:val="00E33E2B"/>
    <w:rsid w:val="00E35009"/>
    <w:rsid w:val="00E35DC5"/>
    <w:rsid w:val="00E40627"/>
    <w:rsid w:val="00E41782"/>
    <w:rsid w:val="00E42CDD"/>
    <w:rsid w:val="00E430A2"/>
    <w:rsid w:val="00E44738"/>
    <w:rsid w:val="00E47E75"/>
    <w:rsid w:val="00E54EF5"/>
    <w:rsid w:val="00E56B2F"/>
    <w:rsid w:val="00E57763"/>
    <w:rsid w:val="00E60C0E"/>
    <w:rsid w:val="00E6564D"/>
    <w:rsid w:val="00E6653A"/>
    <w:rsid w:val="00E714A7"/>
    <w:rsid w:val="00E74CCC"/>
    <w:rsid w:val="00E75BB4"/>
    <w:rsid w:val="00E85FF0"/>
    <w:rsid w:val="00E86C1C"/>
    <w:rsid w:val="00E86DAB"/>
    <w:rsid w:val="00E87F72"/>
    <w:rsid w:val="00EA1E1C"/>
    <w:rsid w:val="00EA3342"/>
    <w:rsid w:val="00EA4016"/>
    <w:rsid w:val="00EA4840"/>
    <w:rsid w:val="00EA567B"/>
    <w:rsid w:val="00EA7B40"/>
    <w:rsid w:val="00EB0351"/>
    <w:rsid w:val="00EB03A4"/>
    <w:rsid w:val="00EB5738"/>
    <w:rsid w:val="00EB6223"/>
    <w:rsid w:val="00EB6F62"/>
    <w:rsid w:val="00EC0179"/>
    <w:rsid w:val="00EC3776"/>
    <w:rsid w:val="00EC3C63"/>
    <w:rsid w:val="00EC4D1B"/>
    <w:rsid w:val="00ED12C6"/>
    <w:rsid w:val="00EE1103"/>
    <w:rsid w:val="00EE20C3"/>
    <w:rsid w:val="00EE3091"/>
    <w:rsid w:val="00EE379E"/>
    <w:rsid w:val="00EE5552"/>
    <w:rsid w:val="00EF0B30"/>
    <w:rsid w:val="00EF2C6E"/>
    <w:rsid w:val="00F03BB2"/>
    <w:rsid w:val="00F03CF7"/>
    <w:rsid w:val="00F05033"/>
    <w:rsid w:val="00F07EED"/>
    <w:rsid w:val="00F11AFC"/>
    <w:rsid w:val="00F120CE"/>
    <w:rsid w:val="00F12E0F"/>
    <w:rsid w:val="00F12EB2"/>
    <w:rsid w:val="00F15E6D"/>
    <w:rsid w:val="00F2366C"/>
    <w:rsid w:val="00F247A2"/>
    <w:rsid w:val="00F32307"/>
    <w:rsid w:val="00F3272E"/>
    <w:rsid w:val="00F3485D"/>
    <w:rsid w:val="00F34F5F"/>
    <w:rsid w:val="00F3523F"/>
    <w:rsid w:val="00F3579B"/>
    <w:rsid w:val="00F36CB1"/>
    <w:rsid w:val="00F377EF"/>
    <w:rsid w:val="00F4016B"/>
    <w:rsid w:val="00F41CDE"/>
    <w:rsid w:val="00F42200"/>
    <w:rsid w:val="00F42714"/>
    <w:rsid w:val="00F46AF3"/>
    <w:rsid w:val="00F52A01"/>
    <w:rsid w:val="00F550D5"/>
    <w:rsid w:val="00F55465"/>
    <w:rsid w:val="00F56228"/>
    <w:rsid w:val="00F60F71"/>
    <w:rsid w:val="00F66FB9"/>
    <w:rsid w:val="00F73792"/>
    <w:rsid w:val="00F73B32"/>
    <w:rsid w:val="00F77654"/>
    <w:rsid w:val="00F80DDD"/>
    <w:rsid w:val="00F8242D"/>
    <w:rsid w:val="00F83E87"/>
    <w:rsid w:val="00F936E9"/>
    <w:rsid w:val="00F96D67"/>
    <w:rsid w:val="00FA106F"/>
    <w:rsid w:val="00FA7CB2"/>
    <w:rsid w:val="00FB01D4"/>
    <w:rsid w:val="00FB1F30"/>
    <w:rsid w:val="00FB4699"/>
    <w:rsid w:val="00FB54DC"/>
    <w:rsid w:val="00FB6C72"/>
    <w:rsid w:val="00FC029F"/>
    <w:rsid w:val="00FC1472"/>
    <w:rsid w:val="00FD04F1"/>
    <w:rsid w:val="00FD616E"/>
    <w:rsid w:val="00FD6BEC"/>
    <w:rsid w:val="00FE00AF"/>
    <w:rsid w:val="00FE4CEB"/>
    <w:rsid w:val="00FE6F65"/>
    <w:rsid w:val="00FF00D3"/>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colormru v:ext="edit" colors="#46669b"/>
    </o:shapedefaults>
    <o:shapelayout v:ext="edit">
      <o:idmap v:ext="edit" data="1"/>
    </o:shapelayout>
  </w:shapeDefaults>
  <w:decimalSymbol w:val="."/>
  <w:listSeparator w:val=","/>
  <w15:chartTrackingRefBased/>
  <w15:docId w15:val="{8BEEDBA4-6D6A-4544-90EF-1CC45539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rFonts w:ascii="Arial" w:hAnsi="Arial" w:cs="Arial"/>
      <w:b/>
      <w:bCs/>
      <w:sz w:val="28"/>
      <w:szCs w:val="28"/>
      <w:u w:val="single"/>
    </w:rPr>
  </w:style>
  <w:style w:type="paragraph" w:styleId="Heading6">
    <w:name w:val="heading 6"/>
    <w:basedOn w:val="Normal"/>
    <w:next w:val="Normal"/>
    <w:qFormat/>
    <w:pPr>
      <w:keepNext/>
      <w:outlineLvl w:val="5"/>
    </w:pPr>
    <w:rPr>
      <w:rFonts w:ascii="Arial" w:hAnsi="Arial" w:cs="Arial"/>
      <w:b/>
      <w:bCs/>
      <w:sz w:val="28"/>
      <w:szCs w:val="28"/>
      <w:u w:val="single"/>
    </w:rPr>
  </w:style>
  <w:style w:type="paragraph" w:styleId="Heading7">
    <w:name w:val="heading 7"/>
    <w:basedOn w:val="Normal"/>
    <w:next w:val="Normal"/>
    <w:qFormat/>
    <w:pPr>
      <w:keepNext/>
      <w:jc w:val="center"/>
      <w:outlineLvl w:val="6"/>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erpetua" w:hAnsi="Perpetua"/>
      <w:color w:val="333333"/>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1440"/>
    </w:pPr>
  </w:style>
  <w:style w:type="character" w:styleId="Hyperlink">
    <w:name w:val="Hyperlink"/>
    <w:rPr>
      <w:color w:val="0000FF"/>
      <w:u w:val="single"/>
    </w:rPr>
  </w:style>
  <w:style w:type="paragraph" w:styleId="Title">
    <w:name w:val="Title"/>
    <w:basedOn w:val="Normal"/>
    <w:link w:val="TitleChar"/>
    <w:qFormat/>
    <w:pPr>
      <w:jc w:val="center"/>
    </w:pPr>
    <w:rPr>
      <w:b/>
      <w:bCs/>
      <w:lang w:val="x-none" w:eastAsia="x-none"/>
    </w:rPr>
  </w:style>
  <w:style w:type="paragraph" w:styleId="BodyText2">
    <w:name w:val="Body Text 2"/>
    <w:basedOn w:val="Normal"/>
    <w:pPr>
      <w:jc w:val="center"/>
    </w:pPr>
  </w:style>
  <w:style w:type="character" w:styleId="PageNumber">
    <w:name w:val="page number"/>
    <w:basedOn w:val="DefaultParagraphFont"/>
  </w:style>
  <w:style w:type="paragraph" w:styleId="BodyTextIndent2">
    <w:name w:val="Body Text Indent 2"/>
    <w:basedOn w:val="Normal"/>
    <w:pPr>
      <w:ind w:left="360"/>
    </w:pPr>
  </w:style>
  <w:style w:type="character" w:styleId="FollowedHyperlink">
    <w:name w:val="FollowedHyperlink"/>
    <w:rPr>
      <w:color w:val="800080"/>
      <w:u w:val="single"/>
    </w:rPr>
  </w:style>
  <w:style w:type="paragraph" w:styleId="BodyTextIndent3">
    <w:name w:val="Body Text Indent 3"/>
    <w:basedOn w:val="Normal"/>
    <w:pPr>
      <w:ind w:left="1980" w:hanging="1080"/>
    </w:pPr>
  </w:style>
  <w:style w:type="character" w:styleId="LineNumber">
    <w:name w:val="lin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Pr>
      <w:sz w:val="22"/>
      <w:szCs w:val="72"/>
    </w:rPr>
  </w:style>
  <w:style w:type="character" w:styleId="Emphasis">
    <w:name w:val="Emphasis"/>
    <w:qFormat/>
    <w:rPr>
      <w:i/>
      <w:iCs/>
    </w:rPr>
  </w:style>
  <w:style w:type="paragraph" w:customStyle="1" w:styleId="Default">
    <w:name w:val="Default"/>
    <w:pPr>
      <w:autoSpaceDE w:val="0"/>
      <w:autoSpaceDN w:val="0"/>
      <w:adjustRightInd w:val="0"/>
    </w:pPr>
    <w:rPr>
      <w:rFonts w:ascii="Symbol" w:hAnsi="Symbol"/>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Legal2">
    <w:name w:val="Legal 2"/>
    <w:basedOn w:val="Normal"/>
    <w:rsid w:val="00584B6E"/>
    <w:pPr>
      <w:widowControl w:val="0"/>
      <w:numPr>
        <w:ilvl w:val="1"/>
        <w:numId w:val="7"/>
      </w:numPr>
      <w:autoSpaceDE w:val="0"/>
      <w:autoSpaceDN w:val="0"/>
      <w:adjustRightInd w:val="0"/>
      <w:ind w:firstLine="1440"/>
      <w:outlineLvl w:val="1"/>
    </w:pPr>
  </w:style>
  <w:style w:type="character" w:styleId="CommentReference">
    <w:name w:val="annotation reference"/>
    <w:semiHidden/>
    <w:rsid w:val="00F11AFC"/>
    <w:rPr>
      <w:sz w:val="16"/>
      <w:szCs w:val="16"/>
    </w:rPr>
  </w:style>
  <w:style w:type="paragraph" w:styleId="CommentText">
    <w:name w:val="annotation text"/>
    <w:basedOn w:val="Normal"/>
    <w:semiHidden/>
    <w:rsid w:val="00F11AFC"/>
    <w:rPr>
      <w:sz w:val="20"/>
      <w:szCs w:val="20"/>
    </w:rPr>
  </w:style>
  <w:style w:type="paragraph" w:styleId="CommentSubject">
    <w:name w:val="annotation subject"/>
    <w:basedOn w:val="CommentText"/>
    <w:next w:val="CommentText"/>
    <w:semiHidden/>
    <w:rsid w:val="00F11AFC"/>
    <w:rPr>
      <w:b/>
      <w:bCs/>
    </w:rPr>
  </w:style>
  <w:style w:type="character" w:styleId="Strong">
    <w:name w:val="Strong"/>
    <w:qFormat/>
    <w:rsid w:val="00857D1E"/>
    <w:rPr>
      <w:b/>
      <w:bCs/>
    </w:rPr>
  </w:style>
  <w:style w:type="paragraph" w:styleId="FootnoteText">
    <w:name w:val="footnote text"/>
    <w:basedOn w:val="Normal"/>
    <w:semiHidden/>
    <w:rsid w:val="00084ED3"/>
    <w:rPr>
      <w:sz w:val="20"/>
      <w:szCs w:val="20"/>
    </w:rPr>
  </w:style>
  <w:style w:type="character" w:styleId="FootnoteReference">
    <w:name w:val="footnote reference"/>
    <w:semiHidden/>
    <w:rsid w:val="00084ED3"/>
    <w:rPr>
      <w:vertAlign w:val="superscript"/>
    </w:rPr>
  </w:style>
  <w:style w:type="character" w:customStyle="1" w:styleId="bodytxtblackstyle2">
    <w:name w:val="bodytxtblack style2"/>
    <w:basedOn w:val="DefaultParagraphFont"/>
    <w:rsid w:val="00DF0076"/>
  </w:style>
  <w:style w:type="paragraph" w:styleId="ListParagraph">
    <w:name w:val="List Paragraph"/>
    <w:basedOn w:val="Normal"/>
    <w:qFormat/>
    <w:rsid w:val="007D62A4"/>
    <w:pPr>
      <w:spacing w:after="200" w:line="276" w:lineRule="auto"/>
      <w:ind w:left="720"/>
      <w:contextualSpacing/>
    </w:pPr>
    <w:rPr>
      <w:rFonts w:ascii="Calibri" w:hAnsi="Calibri"/>
      <w:sz w:val="22"/>
      <w:szCs w:val="22"/>
    </w:rPr>
  </w:style>
  <w:style w:type="paragraph" w:styleId="EndnoteText">
    <w:name w:val="endnote text"/>
    <w:basedOn w:val="Normal"/>
    <w:link w:val="EndnoteTextChar"/>
    <w:rsid w:val="00522232"/>
    <w:rPr>
      <w:sz w:val="20"/>
      <w:szCs w:val="20"/>
    </w:rPr>
  </w:style>
  <w:style w:type="character" w:customStyle="1" w:styleId="EndnoteTextChar">
    <w:name w:val="Endnote Text Char"/>
    <w:basedOn w:val="DefaultParagraphFont"/>
    <w:link w:val="EndnoteText"/>
    <w:rsid w:val="00522232"/>
  </w:style>
  <w:style w:type="character" w:styleId="EndnoteReference">
    <w:name w:val="endnote reference"/>
    <w:rsid w:val="00522232"/>
    <w:rPr>
      <w:vertAlign w:val="superscript"/>
    </w:rPr>
  </w:style>
  <w:style w:type="table" w:styleId="TableGrid">
    <w:name w:val="Table Grid"/>
    <w:basedOn w:val="TableNormal"/>
    <w:rsid w:val="0062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5BB4"/>
    <w:rPr>
      <w:sz w:val="24"/>
      <w:szCs w:val="24"/>
    </w:rPr>
  </w:style>
  <w:style w:type="character" w:customStyle="1" w:styleId="HeaderChar">
    <w:name w:val="Header Char"/>
    <w:link w:val="Header"/>
    <w:uiPriority w:val="99"/>
    <w:rsid w:val="00EE1103"/>
    <w:rPr>
      <w:sz w:val="24"/>
      <w:szCs w:val="24"/>
    </w:rPr>
  </w:style>
  <w:style w:type="character" w:customStyle="1" w:styleId="TitleChar">
    <w:name w:val="Title Char"/>
    <w:link w:val="Title"/>
    <w:rsid w:val="00EE110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4484">
      <w:bodyDiv w:val="1"/>
      <w:marLeft w:val="0"/>
      <w:marRight w:val="0"/>
      <w:marTop w:val="0"/>
      <w:marBottom w:val="0"/>
      <w:divBdr>
        <w:top w:val="none" w:sz="0" w:space="0" w:color="auto"/>
        <w:left w:val="none" w:sz="0" w:space="0" w:color="auto"/>
        <w:bottom w:val="none" w:sz="0" w:space="0" w:color="auto"/>
        <w:right w:val="none" w:sz="0" w:space="0" w:color="auto"/>
      </w:divBdr>
    </w:div>
    <w:div w:id="380910518">
      <w:bodyDiv w:val="1"/>
      <w:marLeft w:val="0"/>
      <w:marRight w:val="0"/>
      <w:marTop w:val="0"/>
      <w:marBottom w:val="0"/>
      <w:divBdr>
        <w:top w:val="none" w:sz="0" w:space="0" w:color="auto"/>
        <w:left w:val="none" w:sz="0" w:space="0" w:color="auto"/>
        <w:bottom w:val="none" w:sz="0" w:space="0" w:color="auto"/>
        <w:right w:val="none" w:sz="0" w:space="0" w:color="auto"/>
      </w:divBdr>
    </w:div>
    <w:div w:id="795638176">
      <w:bodyDiv w:val="1"/>
      <w:marLeft w:val="0"/>
      <w:marRight w:val="0"/>
      <w:marTop w:val="0"/>
      <w:marBottom w:val="0"/>
      <w:divBdr>
        <w:top w:val="none" w:sz="0" w:space="0" w:color="auto"/>
        <w:left w:val="none" w:sz="0" w:space="0" w:color="auto"/>
        <w:bottom w:val="none" w:sz="0" w:space="0" w:color="auto"/>
        <w:right w:val="none" w:sz="0" w:space="0" w:color="auto"/>
      </w:divBdr>
    </w:div>
    <w:div w:id="1580940389">
      <w:bodyDiv w:val="1"/>
      <w:marLeft w:val="0"/>
      <w:marRight w:val="0"/>
      <w:marTop w:val="0"/>
      <w:marBottom w:val="0"/>
      <w:divBdr>
        <w:top w:val="none" w:sz="0" w:space="0" w:color="auto"/>
        <w:left w:val="none" w:sz="0" w:space="0" w:color="auto"/>
        <w:bottom w:val="none" w:sz="0" w:space="0" w:color="auto"/>
        <w:right w:val="none" w:sz="0" w:space="0" w:color="auto"/>
      </w:divBdr>
    </w:div>
    <w:div w:id="18178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7AF3-64BD-4FAC-8E9E-C3E3C343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Wednesday August 22, 2007</vt:lpstr>
    </vt:vector>
  </TitlesOfParts>
  <Company>Montecito Bank &amp; Trust</Company>
  <LinksUpToDate>false</LinksUpToDate>
  <CharactersWithSpaces>13734</CharactersWithSpaces>
  <SharedDoc>false</SharedDoc>
  <HLinks>
    <vt:vector size="12" baseType="variant">
      <vt:variant>
        <vt:i4>3407917</vt:i4>
      </vt:variant>
      <vt:variant>
        <vt:i4>3</vt:i4>
      </vt:variant>
      <vt:variant>
        <vt:i4>0</vt:i4>
      </vt:variant>
      <vt:variant>
        <vt:i4>5</vt:i4>
      </vt:variant>
      <vt:variant>
        <vt:lpwstr>http://www.vchousingtrustfund.org/</vt:lpwstr>
      </vt:variant>
      <vt:variant>
        <vt:lpwstr/>
      </vt: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22, 2007</dc:title>
  <dc:subject/>
  <dc:creator>Emily Melander</dc:creator>
  <cp:keywords/>
  <cp:lastModifiedBy>karen fraser</cp:lastModifiedBy>
  <cp:revision>4</cp:revision>
  <cp:lastPrinted>2015-12-21T17:29:00Z</cp:lastPrinted>
  <dcterms:created xsi:type="dcterms:W3CDTF">2019-10-01T20:29:00Z</dcterms:created>
  <dcterms:modified xsi:type="dcterms:W3CDTF">2019-10-01T20:56:00Z</dcterms:modified>
</cp:coreProperties>
</file>